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湖南博盛会计师事务所有限公司</w:t>
      </w:r>
      <w:bookmarkEnd w:id="0"/>
      <w:bookmarkEnd w:id="1"/>
      <w:bookmarkEnd w:id="2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520"/>
        <w:jc w:val="left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HUNAN BOSHENG CERTIFIED PUBLIC ACCOUNTANTS FLRM LTD</w:t>
      </w:r>
      <w:bookmarkEnd w:id="3"/>
      <w:bookmarkEnd w:id="4"/>
      <w:bookmarkEnd w:id="5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mc:AlternateContent>
          <mc:Choice Requires="wps">
            <w:drawing>
              <wp:anchor distT="1555750" distB="173990" distL="471170" distR="3159125" simplePos="0" relativeHeight="125829378" behindDoc="0" locked="0" layoutInCell="1" allowOverlap="1">
                <wp:simplePos x="0" y="0"/>
                <wp:positionH relativeFrom="page">
                  <wp:posOffset>1522730</wp:posOffset>
                </wp:positionH>
                <wp:positionV relativeFrom="paragraph">
                  <wp:posOffset>1822450</wp:posOffset>
                </wp:positionV>
                <wp:extent cx="1847215" cy="20574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47215" cy="2057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我们审计了后附的湖南/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9.90000000000001pt;margin-top:143.5pt;width:145.45000000000002pt;height:16.199999999999999pt;z-index:-125829375;mso-wrap-distance-left:37.100000000000001pt;mso-wrap-distance-top:122.5pt;mso-wrap-distance-right:248.75pt;mso-wrap-distance-bottom:13.7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我们审计了后附的湖南/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381000" distB="0" distL="2020570" distR="1842770" simplePos="0" relativeHeight="125829380" behindDoc="0" locked="0" layoutInCell="1" allowOverlap="1">
            <wp:simplePos x="0" y="0"/>
            <wp:positionH relativeFrom="page">
              <wp:posOffset>3072130</wp:posOffset>
            </wp:positionH>
            <wp:positionV relativeFrom="paragraph">
              <wp:posOffset>647700</wp:posOffset>
            </wp:positionV>
            <wp:extent cx="1615440" cy="1554480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15440" cy="15544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4681220</wp:posOffset>
                </wp:positionH>
                <wp:positionV relativeFrom="paragraph">
                  <wp:posOffset>1822450</wp:posOffset>
                </wp:positionV>
                <wp:extent cx="1732915" cy="21018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3291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基金会（以下简称贵基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8.60000000000002pt;margin-top:143.5pt;width:136.44999999999999pt;height:16.5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基金会（以下简称贵基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1388110</wp:posOffset>
                </wp:positionV>
                <wp:extent cx="1920240" cy="23749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2024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湖南省湘雅医学和健康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91.799999999999997pt;margin-top:109.3pt;width:151.20000000000002pt;height:18.69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湖南省湘雅医学和健康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湘博审字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（2018）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8106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40" w:after="120" w:line="240" w:lineRule="auto"/>
        <w:ind w:left="0" w:right="0" w:firstLine="0"/>
        <w:jc w:val="left"/>
      </w:pPr>
      <w:r>
        <mc:AlternateContent>
          <mc:Choice Requires="wps">
            <w:drawing>
              <wp:anchor distT="114300" distB="114300" distL="114300" distR="114300" simplePos="0" relativeHeight="125829381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393700</wp:posOffset>
                </wp:positionV>
                <wp:extent cx="3616325" cy="20129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1632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的业务活动表、现金流量表以及财务报表附注。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91.450000000000003pt;margin-top:31.pt;width:284.75pt;height:15.85pt;z-index:-125829372;mso-wrap-distance-left:9.pt;mso-wrap-distance-top:9.pt;mso-wrap-distance-right:9.pt;mso-wrap-distance-bottom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的业务活动表、现金流量表以及财务报表附注。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0" distL="88900" distR="88900" simplePos="0" relativeHeight="125829383" behindDoc="0" locked="0" layoutInCell="1" allowOverlap="1">
            <wp:simplePos x="0" y="0"/>
            <wp:positionH relativeFrom="page">
              <wp:posOffset>6762115</wp:posOffset>
            </wp:positionH>
            <wp:positionV relativeFrom="paragraph">
              <wp:posOffset>-139700</wp:posOffset>
            </wp:positionV>
            <wp:extent cx="749935" cy="1621790"/>
            <wp:wrapSquare wrapText="bothSides"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49935" cy="16217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</w:rPr>
        <w:t>金会）财务报表，包括2017年12月31日的资产负债表、2017年度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120" w:after="320" w:line="240" w:lineRule="auto"/>
        <w:ind w:left="0" w:right="0" w:firstLine="520"/>
        <w:jc w:val="left"/>
      </w:pPr>
      <w:bookmarkStart w:id="6" w:name="bookmark6"/>
      <w:r>
        <w:rPr>
          <w:color w:val="000000"/>
          <w:spacing w:val="0"/>
          <w:w w:val="100"/>
          <w:position w:val="0"/>
        </w:rPr>
        <w:t>一</w:t>
      </w:r>
      <w:bookmarkEnd w:id="6"/>
      <w:r>
        <w:rPr>
          <w:color w:val="000000"/>
          <w:spacing w:val="0"/>
          <w:w w:val="100"/>
          <w:position w:val="0"/>
        </w:rPr>
        <w:t>、管理层对财务报表的责任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 xml:space="preserve">编制和公允列报财务报表是贵基金会管理层的责任，这种责任包 </w:t>
      </w:r>
      <w:r>
        <w:rPr>
          <w:color w:val="000000"/>
          <w:spacing w:val="0"/>
          <w:w w:val="100"/>
          <w:position w:val="0"/>
        </w:rPr>
        <w:t xml:space="preserve">括：（1）按照《民间非营利组织会计制度》的规定编制财务报表，并 </w:t>
      </w:r>
      <w:r>
        <w:rPr>
          <w:color w:val="000000"/>
          <w:spacing w:val="0"/>
          <w:w w:val="100"/>
          <w:position w:val="0"/>
        </w:rPr>
        <w:t xml:space="preserve">使其实现公允反映；（2）设计、执行和维护必要的内部控制，以使财 </w:t>
      </w:r>
      <w:r>
        <w:rPr>
          <w:color w:val="000000"/>
          <w:spacing w:val="0"/>
          <w:w w:val="100"/>
          <w:position w:val="0"/>
        </w:rPr>
        <w:t>务报表不存在由于舞弊或错误导致的重大错报。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520"/>
        <w:jc w:val="left"/>
      </w:pPr>
      <w:bookmarkStart w:id="7" w:name="bookmark7"/>
      <w:r>
        <w:rPr>
          <w:color w:val="000000"/>
          <w:spacing w:val="0"/>
          <w:w w:val="100"/>
          <w:position w:val="0"/>
        </w:rPr>
        <w:t>二</w:t>
      </w:r>
      <w:bookmarkEnd w:id="7"/>
      <w:r>
        <w:rPr>
          <w:color w:val="000000"/>
          <w:spacing w:val="0"/>
          <w:w w:val="100"/>
          <w:position w:val="0"/>
        </w:rPr>
        <w:t>、注册会计师的责任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</w:rPr>
        <w:t xml:space="preserve">我们的责任是在执行审计工作的基础上对财务报表发表审计意 </w:t>
      </w:r>
      <w:r>
        <w:rPr>
          <w:color w:val="000000"/>
          <w:spacing w:val="0"/>
          <w:w w:val="100"/>
          <w:position w:val="0"/>
        </w:rPr>
        <w:t xml:space="preserve">见。我们按照中国注册会计师审计准则和《基金会财务报表审计指引》 </w:t>
      </w:r>
      <w:r>
        <w:rPr>
          <w:color w:val="000000"/>
          <w:spacing w:val="0"/>
          <w:w w:val="100"/>
          <w:position w:val="0"/>
        </w:rPr>
        <w:t xml:space="preserve">的规定执行了审计工作。中国注册会计师审计准则要求我们遵守中国 </w:t>
      </w:r>
      <w:r>
        <w:rPr>
          <w:color w:val="000000"/>
          <w:spacing w:val="0"/>
          <w:w w:val="100"/>
          <w:position w:val="0"/>
        </w:rPr>
        <w:t xml:space="preserve">注册会计师职业道德守则，计划和执行审计工作以对财务报表是否不 </w:t>
      </w:r>
      <w:r>
        <w:rPr>
          <w:color w:val="000000"/>
          <w:spacing w:val="0"/>
          <w:w w:val="100"/>
          <w:position w:val="0"/>
        </w:rPr>
        <w:t>存在重大错报获取合理保证。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</w:rPr>
        <w:t xml:space="preserve">审计工作涉及实施审计程序，以获取有关财务报表金额和披露的 </w:t>
      </w:r>
      <w:r>
        <w:rPr>
          <w:color w:val="000000"/>
          <w:spacing w:val="0"/>
          <w:w w:val="100"/>
          <w:position w:val="0"/>
        </w:rPr>
        <w:t>审计证据。选择的审计程序取决于注册会计师的判断，包括对由于舞</w:t>
        <w:br w:type="page"/>
      </w:r>
      <w:r>
        <w:rPr>
          <w:color w:val="000000"/>
          <w:spacing w:val="0"/>
          <w:w w:val="100"/>
          <w:position w:val="0"/>
        </w:rPr>
        <w:t>弊或错误导致的财务报表重大错报风险的评估。在进行风险评估时， 注册会计师考虑与财务报表编制和公允列报相关的内部控制，以设计 恰当的审计程序，但目的并非对内部控制的有效性发表意见。审计工 作还包括评价管理层选用会计政策的恰当性和作出会计估计的合理 性，以及评价财务报表的总体列报。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我们相信，我们获取的审计证据是充分、适当的，为发表审计意 见提供了基础。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34" w:lineRule="exact"/>
        <w:ind w:left="0" w:right="0" w:firstLine="620"/>
        <w:jc w:val="both"/>
      </w:pPr>
      <w:bookmarkStart w:id="8" w:name="bookmark8"/>
      <w:r>
        <w:rPr>
          <w:color w:val="000000"/>
          <w:spacing w:val="0"/>
          <w:w w:val="100"/>
          <w:position w:val="0"/>
        </w:rPr>
        <w:t>三</w:t>
      </w:r>
      <w:bookmarkEnd w:id="8"/>
      <w:r>
        <w:rPr>
          <w:color w:val="000000"/>
          <w:spacing w:val="0"/>
          <w:w w:val="100"/>
          <w:position w:val="0"/>
        </w:rPr>
        <w:t>、审计意见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740" w:line="608" w:lineRule="exact"/>
        <w:ind w:left="0" w:right="0" w:firstLine="620"/>
        <w:jc w:val="both"/>
      </w:pPr>
      <w:r>
        <w:drawing>
          <wp:anchor distT="0" distB="0" distL="12700" distR="12700" simplePos="0" relativeHeight="125829384" behindDoc="0" locked="0" layoutInCell="1" allowOverlap="1">
            <wp:simplePos x="0" y="0"/>
            <wp:positionH relativeFrom="page">
              <wp:posOffset>5619115</wp:posOffset>
            </wp:positionH>
            <wp:positionV relativeFrom="paragraph">
              <wp:posOffset>2006600</wp:posOffset>
            </wp:positionV>
            <wp:extent cx="762000" cy="731520"/>
            <wp:wrapSquare wrapText="left"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762000" cy="7315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25829385" behindDoc="0" locked="0" layoutInCell="1" allowOverlap="1">
            <wp:simplePos x="0" y="0"/>
            <wp:positionH relativeFrom="page">
              <wp:posOffset>1174750</wp:posOffset>
            </wp:positionH>
            <wp:positionV relativeFrom="paragraph">
              <wp:posOffset>2197100</wp:posOffset>
            </wp:positionV>
            <wp:extent cx="2444750" cy="1645920"/>
            <wp:wrapSquare wrapText="right"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444750" cy="16459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</w:rPr>
        <w:t>我们认为，贵基金会财务报表在所有重大方面按照《民间非营利 组织会计制度》的规定编制，公允反映了贵基金会2017年12月31 日的财务状况以及2017年度的业务活动成果及现金流量。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</w:rPr>
        <w:t>中国注册会计师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</w:rPr>
        <w:t>中国注册会计师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360" w:firstLine="0"/>
        <w:jc w:val="right"/>
        <w:sectPr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pos w:val="pageBottom"/>
            <w:numFmt w:val="decimal"/>
            <w:numRestart w:val="continuous"/>
          </w:footnotePr>
          <w:pgSz w:w="11900" w:h="16840"/>
          <w:pgMar w:top="1480" w:right="1511" w:bottom="1573" w:left="1786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报告日期：2018年5月4日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</w:rPr>
        <w:t>湖南博盛会计师事务所有限公司</w:t>
      </w:r>
      <w:bookmarkEnd w:id="10"/>
      <w:bookmarkEnd w:id="11"/>
      <w:bookmarkEnd w:id="9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540"/>
        <w:jc w:val="left"/>
      </w:pPr>
      <w:bookmarkStart w:id="12" w:name="bookmark12"/>
      <w:bookmarkStart w:id="13" w:name="bookmark13"/>
      <w:bookmarkStart w:id="14" w:name="bookmark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HUNAN BOSHENG CERTIFIED PUBLIC ACCOUNTANTS FLRM LTD</w:t>
      </w:r>
      <w:bookmarkEnd w:id="12"/>
      <w:bookmarkEnd w:id="13"/>
      <w:bookmarkEnd w:id="1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779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湘博审字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（2018）</w:t>
      </w:r>
      <w:r>
        <w:rPr>
          <w:color w:val="000000"/>
          <w:spacing w:val="0"/>
          <w:w w:val="100"/>
          <w:position w:val="0"/>
          <w:sz w:val="22"/>
          <w:szCs w:val="22"/>
        </w:rPr>
        <w:t>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8106T</w:t>
      </w:r>
      <w:r>
        <w:rPr>
          <w:color w:val="000000"/>
          <w:spacing w:val="0"/>
          <w:w w:val="100"/>
          <w:position w:val="0"/>
          <w:sz w:val="22"/>
          <w:szCs w:val="22"/>
        </w:rPr>
        <w:t>号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200015" cy="1572895"/>
            <wp:docPr id="26" name="Picutre 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5200015" cy="157289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distribute"/>
      </w:pPr>
      <w:r>
        <w:rPr>
          <w:color w:val="000000"/>
          <w:spacing w:val="0"/>
          <w:w w:val="100"/>
          <w:position w:val="0"/>
        </w:rPr>
        <w:t>表审计指引》审计了湖南省湘雅医学和健康基金会的2017年度财务报 表，包括2017年12月31日资产负债表，2017年度的业务活动表和现金 流量表以及财务报表附注，并于2018年5月4日出具了无保留意见的 审计报告，报告文号为湘博审字（2018）第81。6号。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按照《基金会管理条例》及相关规定，湖南省湘雅医学和健康基 金会管理层编制了其2。17年度工作报告。湖南省湘雅医学和健康基金 会在2017年度工作报告中载明了如下信息（以下简称专项信息）：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1.在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</w:t>
      </w:r>
      <w:r>
        <w:rPr>
          <w:color w:val="000000"/>
          <w:spacing w:val="0"/>
          <w:w w:val="100"/>
          <w:position w:val="0"/>
        </w:rPr>
        <w:t>（三）公益支出情况”中，载明了当年公益事业支出占 上年度总收入的比例（或占上年末基金余额的比例）、工作人员工资 福利和行政办公支出占总支出的比例；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601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按照《基金会管理条例》及相关规定真实、完整她编制上述专项 信息是湖南省湘雅医学和健康基金会管理层的责任，我们的责任是在 执行审核工作的基础上对这些专项信息是否在所有重大方面按照有 关规定编制提出审核结论。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540"/>
        <w:jc w:val="left"/>
        <w:sectPr>
          <w:headerReference w:type="default" r:id="rId19"/>
          <w:footerReference w:type="default" r:id="rId20"/>
          <w:footnotePr>
            <w:pos w:val="pageBottom"/>
            <w:numFmt w:val="decimal"/>
            <w:numRestart w:val="continuous"/>
          </w:footnotePr>
          <w:pgSz w:w="11900" w:h="16840"/>
          <w:pgMar w:top="1399" w:right="1498" w:bottom="1399" w:left="1791" w:header="971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在对湖南省湘雅医学和健康基金会2017年度财务报表执行审计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940" w:right="0" w:firstLine="40"/>
        <w:jc w:val="both"/>
      </w:pPr>
      <w:r>
        <w:rPr>
          <w:color w:val="000000"/>
          <w:spacing w:val="0"/>
          <w:w w:val="100"/>
          <w:position w:val="0"/>
        </w:rPr>
        <w:t>的基础上，针对上述专项信息，我们按照《中国注册会计师其他鉴证 业务准则第3101号——历史财务信息审计或审阅以外的鉴证业务》实 施了询问、检查记录和文件、重新计算以及与我们审计湖南省湘雅医 学和健康基金会2017年度财务报表时，湖南省湘雅医学和健康基金会 提供的会计资料和经审计财务报表的相关内容进行核对等我们认为 必要的程序。我们相信，我们的审核工作为提出审核结论提供了合理 的基础°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605" w:lineRule="exact"/>
        <w:ind w:left="940" w:right="0" w:firstLine="580"/>
        <w:jc w:val="both"/>
      </w:pPr>
      <w:r>
        <w:rPr>
          <w:color w:val="000000"/>
          <w:spacing w:val="0"/>
          <w:w w:val="100"/>
          <w:position w:val="0"/>
        </w:rPr>
        <w:t>我们认为，上述专项信息在所有重大方面按照《基金会管理条例》 及相关规定编制。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本报告仅供湖南省湘雅医学和健康基金会向民政部门报送年度报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80" w:line="240" w:lineRule="auto"/>
        <w:ind w:left="0" w:right="0" w:firstLine="940"/>
        <w:jc w:val="both"/>
      </w:pPr>
      <w:r>
        <w:drawing>
          <wp:anchor distT="0" distB="0" distL="12700" distR="12700" simplePos="0" relativeHeight="125829386" behindDoc="0" locked="0" layoutInCell="1" allowOverlap="1">
            <wp:simplePos x="0" y="0"/>
            <wp:positionH relativeFrom="page">
              <wp:posOffset>5605780</wp:posOffset>
            </wp:positionH>
            <wp:positionV relativeFrom="paragraph">
              <wp:posOffset>419100</wp:posOffset>
            </wp:positionV>
            <wp:extent cx="786130" cy="749935"/>
            <wp:wrapSquare wrapText="left"/>
            <wp:docPr id="30" name="Shape 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786130" cy="7499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25829387" behindDoc="0" locked="0" layoutInCell="1" allowOverlap="1">
            <wp:simplePos x="0" y="0"/>
            <wp:positionH relativeFrom="page">
              <wp:posOffset>1156970</wp:posOffset>
            </wp:positionH>
            <wp:positionV relativeFrom="paragraph">
              <wp:posOffset>698500</wp:posOffset>
            </wp:positionV>
            <wp:extent cx="2444750" cy="1609090"/>
            <wp:wrapSquare wrapText="right"/>
            <wp:docPr id="32" name="Shape 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2444750" cy="16090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</w:rPr>
        <w:t>告时使用，不得用于其他用途。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940"/>
        <w:jc w:val="both"/>
      </w:pPr>
      <w:r>
        <w:rPr>
          <w:color w:val="000000"/>
          <w:spacing w:val="0"/>
          <w:w w:val="100"/>
          <w:position w:val="0"/>
        </w:rPr>
        <w:t>中国注册会计师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1620" w:firstLine="0"/>
        <w:jc w:val="right"/>
      </w:pPr>
      <w:r>
        <w:rPr>
          <w:color w:val="000000"/>
          <w:spacing w:val="0"/>
          <w:w w:val="100"/>
          <w:position w:val="0"/>
        </w:rPr>
        <w:t>中国注册会计师：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舫弟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25"/>
          <w:footerReference w:type="default" r:id="rId26"/>
          <w:footnotePr>
            <w:pos w:val="pageBottom"/>
            <w:numFmt w:val="decimal"/>
            <w:numRestart w:val="continuous"/>
          </w:footnotePr>
          <w:pgSz w:w="11900" w:h="16840"/>
          <w:pgMar w:top="1426" w:right="683" w:bottom="1426" w:left="87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报告日期：2018年5月4日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</w:rPr>
        <w:t>资产负债表</w:t>
      </w:r>
      <w:bookmarkEnd w:id="15"/>
      <w:bookmarkEnd w:id="16"/>
      <w:bookmarkEnd w:id="17"/>
    </w:p>
    <w:tbl>
      <w:tblPr>
        <w:tblOverlap w:val="never"/>
        <w:jc w:val="left"/>
        <w:tblLayout w:type="fixed"/>
      </w:tblPr>
      <w:tblGrid>
        <w:gridCol w:w="2902"/>
        <w:gridCol w:w="1303"/>
        <w:gridCol w:w="1354"/>
        <w:gridCol w:w="1620"/>
        <w:gridCol w:w="1570"/>
        <w:gridCol w:w="1591"/>
      </w:tblGrid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 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年初数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年末数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负债和净资产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年初数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年末数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流动资产：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流动负债：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货币资金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6,105,914.13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6,454350.63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短期借款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短期投资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应付款项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100,000.00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应收款项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应付工资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预付账款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应交税金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存货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预收账款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待摊费用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预提费用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一年内到期的长期债权投资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预计负债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其他流动资产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一年内到期的长</w:t>
            </w:r>
          </w:p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期负债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流动资产合计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6,105,914.13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6,454,350.63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其他流动负债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流动负债合计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100,000.00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lang w:val="en-US" w:eastAsia="en-US" w:bidi="en-US"/>
              </w:rPr>
              <w:t>•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长期投资：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长期股权投资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长期负债：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长期债权投资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长期借款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长期投资合计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长期应付款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其他长期负债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固定资产：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长期负债合计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固定资产原价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减；累计折旧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受托代理负债：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固定资产净值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受托代理负债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在建工程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负债合计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100,000.00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.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文物文化资产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固定资产清理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固定资产合计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净资产：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非限定性净资产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6,005,914.13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6,454,350.63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无形资产：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限定性净资产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无形资产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净资产合计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6,005,914.13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6,454350.63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受托代理资产：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受托代理资产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39" w:h="12420" w:vSpace="281" w:wrap="notBeside" w:vAnchor="text" w:hAnchor="text" w:x="148" w:y="52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资产总计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6J05.914.13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6.454,350.63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负债和净资产总计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6,105,914.13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339" w:h="12420" w:vSpace="281" w:wrap="notBeside" w:vAnchor="text" w:hAnchor="text" w:x="148" w:y="5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6,454,350.63</w:t>
            </w:r>
          </w:p>
        </w:tc>
      </w:tr>
    </w:tbl>
    <w:p>
      <w:pPr>
        <w:pStyle w:val="Style26"/>
        <w:keepNext w:val="0"/>
        <w:keepLines w:val="0"/>
        <w:framePr w:w="10195" w:h="540" w:hSpace="147" w:wrap="notBeside" w:vAnchor="text" w:hAnchor="text" w:x="270" w:y="1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会民非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01</w:t>
      </w:r>
      <w:r>
        <w:rPr>
          <w:color w:val="000000"/>
          <w:spacing w:val="0"/>
          <w:w w:val="100"/>
          <w:position w:val="0"/>
        </w:rPr>
        <w:t>表</w:t>
      </w:r>
    </w:p>
    <w:p>
      <w:pPr>
        <w:pStyle w:val="Style26"/>
        <w:keepNext w:val="0"/>
        <w:keepLines w:val="0"/>
        <w:framePr w:w="10195" w:h="540" w:hSpace="147" w:wrap="notBeside" w:vAnchor="text" w:hAnchor="text" w:x="270" w:y="1"/>
        <w:widowControl w:val="0"/>
        <w:shd w:val="clear" w:color="auto" w:fill="auto"/>
        <w:tabs>
          <w:tab w:pos="4824" w:val="left"/>
          <w:tab w:pos="9310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编制单位：湖南省湘雅医学和健康基金会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31</w:t>
      </w:r>
      <w:r>
        <w:rPr>
          <w:color w:val="000000"/>
          <w:spacing w:val="0"/>
          <w:w w:val="100"/>
          <w:position w:val="0"/>
        </w:rPr>
        <w:t>日</w:t>
        <w:tab/>
        <w:t>单位：元</w:t>
      </w:r>
    </w:p>
    <w:p>
      <w:pPr>
        <w:pStyle w:val="Style26"/>
        <w:keepNext w:val="0"/>
        <w:keepLines w:val="0"/>
        <w:framePr w:w="1476" w:h="230" w:hSpace="147" w:wrap="notBeside" w:vAnchor="text" w:hAnchor="text" w:x="170" w:y="129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单位负贲人：肖平</w:t>
      </w:r>
    </w:p>
    <w:p>
      <w:pPr>
        <w:pStyle w:val="Style26"/>
        <w:keepNext w:val="0"/>
        <w:keepLines w:val="0"/>
        <w:framePr w:w="1354" w:h="238" w:hSpace="147" w:wrap="notBeside" w:vAnchor="text" w:hAnchor="text" w:x="4338" w:y="129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会计机构负责人:</w:t>
      </w:r>
    </w:p>
    <w:p>
      <w:pPr>
        <w:pStyle w:val="Style26"/>
        <w:keepNext w:val="0"/>
        <w:keepLines w:val="0"/>
        <w:framePr w:w="1296" w:h="238" w:hSpace="147" w:wrap="notBeside" w:vAnchor="text" w:hAnchor="text" w:x="8226" w:y="129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填表人：常永球</w:t>
      </w:r>
    </w:p>
    <w:p>
      <w:pPr>
        <w:widowControl w:val="0"/>
        <w:spacing w:line="1" w:lineRule="exact"/>
      </w:pPr>
      <w:r>
        <w:br w:type="page"/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</w:rPr>
        <w:t>业务活动表</w:t>
      </w:r>
      <w:bookmarkEnd w:id="18"/>
      <w:bookmarkEnd w:id="19"/>
      <w:bookmarkEnd w:id="20"/>
    </w:p>
    <w:tbl>
      <w:tblPr>
        <w:tblOverlap w:val="never"/>
        <w:jc w:val="left"/>
        <w:tblLayout w:type="fixed"/>
      </w:tblPr>
      <w:tblGrid>
        <w:gridCol w:w="2880"/>
        <w:gridCol w:w="1418"/>
        <w:gridCol w:w="1123"/>
        <w:gridCol w:w="1411"/>
        <w:gridCol w:w="1238"/>
        <w:gridCol w:w="1123"/>
        <w:gridCol w:w="1440"/>
      </w:tblGrid>
      <w:tr>
        <w:trPr>
          <w:trHeight w:val="281" w:hRule="exact"/>
        </w:trPr>
        <w:tc>
          <w:tcPr>
            <w:gridSpan w:val="7"/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tabs>
                <w:tab w:pos="4925" w:val="left"/>
                <w:tab w:pos="813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编制单位：湖南省湘雅医学和健康基金会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2017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  <w:tab/>
              <w:t>单位：元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tabs>
                <w:tab w:pos="1846" w:val="left"/>
              </w:tabs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</w:t>
              <w:tab/>
              <w:t>目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上年数数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本年数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一、枚入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非限定性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限定性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非限定性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限定性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4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合计</w:t>
            </w:r>
          </w:p>
        </w:tc>
      </w:tr>
      <w:tr>
        <w:trPr>
          <w:trHeight w:val="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其中：捐赠收入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1,815,000.00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1,815,000.00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1,646,234.20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1,646,234.20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会费收入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提供服务收入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其他与本会有关收入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政府补助收入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200,000.00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200,000.00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投资收益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21,638.91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21,638.91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33,304.15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33,304.15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收入合计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1,836,638.91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1,836,638.91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1,679,538.35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200,000.00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1,879,538.35</w:t>
            </w:r>
          </w:p>
        </w:tc>
      </w:tr>
      <w:tr>
        <w:trPr>
          <w:trHeight w:val="4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二、费用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（-）</w:t>
            </w:r>
            <w:r>
              <w:rPr>
                <w:color w:val="000000"/>
                <w:spacing w:val="0"/>
                <w:w w:val="100"/>
                <w:position w:val="0"/>
              </w:rPr>
              <w:t>业务活动成本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739,110.19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739,110.19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1,153,243.97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203,08&amp;31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1,356,332.28</w:t>
            </w:r>
          </w:p>
        </w:tc>
      </w:tr>
      <w:tr>
        <w:trPr>
          <w:trHeight w:val="4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</w:tr>
      <w:tr>
        <w:trPr>
          <w:trHeight w:val="4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4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4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</w:tr>
      <w:tr>
        <w:trPr>
          <w:trHeight w:val="4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（二）管理费用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18,492.80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18,492.80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74,769.57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74,769.57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（三）筹资费用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（四）其他费用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费用合计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757,602.99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757,602.99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1,228,013.54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203,088.31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1,431,101.85</w:t>
            </w:r>
          </w:p>
        </w:tc>
      </w:tr>
      <w:tr>
        <w:trPr>
          <w:trHeight w:val="76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三、限定性净资产转为非限定性 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634" w:h="12665" w:vSpace="281" w:wrap="notBeside" w:vAnchor="text" w:hAnchor="text" w:y="49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四、净资产变动额（若为净资产 减少额，以“―”号填列）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1,079,035.92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1,079,035.92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45L524.81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-3,088.31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0634" w:h="12665" w:vSpace="281" w:wrap="notBeside" w:vAnchor="text" w:hAnchor="text" w:y="4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448,436.50</w:t>
            </w:r>
          </w:p>
        </w:tc>
      </w:tr>
    </w:tbl>
    <w:p>
      <w:pPr>
        <w:pStyle w:val="Style26"/>
        <w:keepNext w:val="0"/>
        <w:keepLines w:val="0"/>
        <w:framePr w:w="1030" w:h="266" w:hSpace="9604" w:wrap="notBeside" w:vAnchor="text" w:hAnchor="text" w:x="958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会民菲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02</w:t>
      </w:r>
      <w:r>
        <w:rPr>
          <w:color w:val="000000"/>
          <w:spacing w:val="0"/>
          <w:w w:val="100"/>
          <w:position w:val="0"/>
        </w:rPr>
        <w:t>表</w:t>
      </w:r>
    </w:p>
    <w:p>
      <w:pPr>
        <w:pStyle w:val="Style26"/>
        <w:keepNext w:val="0"/>
        <w:keepLines w:val="0"/>
        <w:framePr w:w="1454" w:h="230" w:hSpace="9180" w:wrap="notBeside" w:vAnchor="text" w:hAnchor="text" w:x="37" w:y="132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单位负责人：肖平</w:t>
      </w:r>
    </w:p>
    <w:p>
      <w:pPr>
        <w:pStyle w:val="Style26"/>
        <w:keepNext w:val="0"/>
        <w:keepLines w:val="0"/>
        <w:framePr w:w="1361" w:h="223" w:hSpace="9273" w:wrap="notBeside" w:vAnchor="text" w:hAnchor="text" w:x="4292" w:y="131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会计机构负责人:</w:t>
      </w:r>
    </w:p>
    <w:p>
      <w:pPr>
        <w:pStyle w:val="Style26"/>
        <w:keepNext w:val="0"/>
        <w:keepLines w:val="0"/>
        <w:framePr w:w="1289" w:h="230" w:hSpace="9345" w:wrap="notBeside" w:vAnchor="text" w:hAnchor="text" w:x="7568" w:y="131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墳表人：常永球</w:t>
      </w:r>
    </w:p>
    <w:p>
      <w:pPr>
        <w:widowControl w:val="0"/>
        <w:spacing w:line="1" w:lineRule="exact"/>
        <w:sectPr>
          <w:headerReference w:type="default" r:id="rId27"/>
          <w:footerReference w:type="default" r:id="rId28"/>
          <w:footnotePr>
            <w:pos w:val="pageBottom"/>
            <w:numFmt w:val="decimal"/>
            <w:numRestart w:val="continuous"/>
          </w:footnotePr>
          <w:pgSz w:w="11900" w:h="16840"/>
          <w:pgMar w:top="1124" w:right="569" w:bottom="1490" w:left="697" w:header="696" w:footer="1062" w:gutter="0"/>
          <w:cols w:space="720"/>
          <w:noEndnote/>
          <w:rtlGutter w:val="0"/>
          <w:docGrid w:linePitch="360"/>
        </w:sectPr>
      </w:pPr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</w:rPr>
        <w:t>现金流量表</w:t>
      </w:r>
      <w:bookmarkEnd w:id="21"/>
      <w:bookmarkEnd w:id="22"/>
      <w:bookmarkEnd w:id="23"/>
    </w:p>
    <w:tbl>
      <w:tblPr>
        <w:tblOverlap w:val="never"/>
        <w:jc w:val="left"/>
        <w:tblLayout w:type="fixed"/>
      </w:tblPr>
      <w:tblGrid>
        <w:gridCol w:w="4622"/>
        <w:gridCol w:w="2412"/>
        <w:gridCol w:w="4723"/>
        <w:gridCol w:w="2369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湖南省湘雅医学和健康基金会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2017</w:t>
            </w:r>
            <w:r>
              <w:rPr>
                <w:color w:val="000000"/>
                <w:spacing w:val="0"/>
                <w:w w:val="100"/>
                <w:position w:val="0"/>
              </w:rPr>
              <w:t>年度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单位：元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金额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金额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</w:t>
            </w:r>
            <w:r>
              <w:rPr>
                <w:color w:val="000000"/>
                <w:spacing w:val="0"/>
                <w:w w:val="100"/>
                <w:position w:val="0"/>
              </w:rPr>
              <w:t>业务沾动产生的现金流量；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126" w:h="7762" w:vSpace="259" w:wrap="notBeside" w:vAnchor="text" w:hAnchor="text" w:y="26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收到的其他与投资活动有关的现金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126" w:h="7762" w:vSpace="259" w:wrap="notBeside" w:vAnchor="text" w:hAnchor="text" w:y="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接受捐赠收到的现金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1,646,234.20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现金流入小计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0.00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收取会费收到的现金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126" w:h="7762" w:vSpace="259" w:wrap="notBeside" w:vAnchor="text" w:hAnchor="text" w:y="26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购建固定资产和无形资产所支付的现金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126" w:h="7762" w:vSpace="259" w:wrap="notBeside" w:vAnchor="text" w:hAnchor="text" w:y="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提供服务收到的现金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126" w:h="7762" w:vSpace="259" w:wrap="notBeside" w:vAnchor="text" w:hAnchor="text" w:y="26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对外投资所支付的现金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126" w:h="7762" w:vSpace="259" w:wrap="notBeside" w:vAnchor="text" w:hAnchor="text" w:y="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销售商品收到的现金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126" w:h="7762" w:vSpace="259" w:wrap="notBeside" w:vAnchor="text" w:hAnchor="text" w:y="26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支付的其他与投资活动有关的现金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100,000.00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政府补助收到的现金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200,000.00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现金流出小计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100,000.00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收到的其他与业务活动有关的现金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33,304.15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投资活动产生的现金流量净额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-100,000.00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现金流入小计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1,879,538.35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三、筹资活动产生的现金流量：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126" w:h="7762" w:vSpace="259" w:wrap="notBeside" w:vAnchor="text" w:hAnchor="text" w:y="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提供捐赠或者资助支付的现金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1,356,332.28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借款收到的现金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126" w:h="7762" w:vSpace="259" w:wrap="notBeside" w:vAnchor="text" w:hAnchor="text" w:y="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支付给员工以及为员工支付的现金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126" w:h="7762" w:vSpace="259" w:wrap="notBeside" w:vAnchor="text" w:hAnchor="text" w:y="26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收到的其他与筹资活动有关的现金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126" w:h="7762" w:vSpace="259" w:wrap="notBeside" w:vAnchor="text" w:hAnchor="text" w:y="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购买商品、接受服务支付的现金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126" w:h="7762" w:vSpace="259" w:wrap="notBeside" w:vAnchor="text" w:hAnchor="text" w:y="26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现金流入小计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0.00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支付的其他顷业务活动有关的现金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74,769.57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偿还借款所支付的现金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126" w:h="7762" w:vSpace="259" w:wrap="notBeside" w:vAnchor="text" w:hAnchor="text" w:y="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现金流出小计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1,431,101.85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偿付利息所支付的现金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126" w:h="7762" w:vSpace="259" w:wrap="notBeside" w:vAnchor="text" w:hAnchor="text" w:y="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业务活动产生的现金流量净额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448,436.50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支付的其他与筹资活动有关的现金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126" w:h="7762" w:vSpace="259" w:wrap="notBeside" w:vAnchor="text" w:hAnchor="text" w:y="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二、投资活动产生的现金流量：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126" w:h="7762" w:vSpace="259" w:wrap="notBeside" w:vAnchor="text" w:hAnchor="text" w:y="26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现金流出小计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0.00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收回投资所收到的现金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126" w:h="7762" w:vSpace="259" w:wrap="notBeside" w:vAnchor="text" w:hAnchor="text" w:y="26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筹资活动产生的现金流量净额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190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0.00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取得投资收益所收到的现金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126" w:h="7762" w:vSpace="259" w:wrap="notBeside" w:vAnchor="text" w:hAnchor="text" w:y="26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四、汇率变动对现金的影响额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126" w:h="7762" w:vSpace="259" w:wrap="notBeside" w:vAnchor="text" w:hAnchor="text" w:y="26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处置固定资产和无形资产所收回的现金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126" w:h="7762" w:vSpace="259" w:wrap="notBeside" w:vAnchor="text" w:hAnchor="text" w:y="260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五、现金及现金等价物的净增加额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14126" w:h="7762" w:vSpace="259" w:wrap="notBeside" w:vAnchor="text" w:hAnchor="text" w:y="26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348,436.50</w:t>
            </w:r>
          </w:p>
        </w:tc>
      </w:tr>
    </w:tbl>
    <w:p>
      <w:pPr>
        <w:pStyle w:val="Style26"/>
        <w:keepNext w:val="0"/>
        <w:keepLines w:val="0"/>
        <w:framePr w:w="8071" w:h="223" w:hSpace="6055" w:wrap="notBeside" w:vAnchor="text" w:hAnchor="text" w:x="602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会民非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03</w:t>
      </w:r>
      <w:r>
        <w:rPr>
          <w:color w:val="000000"/>
          <w:spacing w:val="0"/>
          <w:w w:val="100"/>
          <w:position w:val="0"/>
        </w:rPr>
        <w:t>表</w:t>
      </w:r>
    </w:p>
    <w:p>
      <w:pPr>
        <w:pStyle w:val="Style26"/>
        <w:keepNext w:val="0"/>
        <w:keepLines w:val="0"/>
        <w:framePr w:w="1440" w:h="230" w:hSpace="12686" w:wrap="notBeside" w:vAnchor="text" w:hAnchor="text" w:x="59" w:y="80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单位贝责人：肖平</w:t>
      </w:r>
    </w:p>
    <w:p>
      <w:pPr>
        <w:pStyle w:val="Style26"/>
        <w:keepNext w:val="0"/>
        <w:keepLines w:val="0"/>
        <w:framePr w:w="1368" w:h="230" w:hSpace="12758" w:wrap="notBeside" w:vAnchor="text" w:hAnchor="text" w:x="4652" w:y="80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会计机构负责人:</w:t>
      </w:r>
    </w:p>
    <w:p>
      <w:pPr>
        <w:pStyle w:val="Style26"/>
        <w:keepNext w:val="0"/>
        <w:keepLines w:val="0"/>
        <w:framePr w:w="1332" w:h="230" w:hSpace="12794" w:wrap="notBeside" w:vAnchor="text" w:hAnchor="text" w:x="11780" w:y="80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填表人：常永球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247" w:right="1980" w:bottom="1247" w:left="734" w:header="819" w:footer="819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80" w:line="526" w:lineRule="exact"/>
        <w:ind w:left="0" w:right="0" w:firstLine="0"/>
        <w:jc w:val="center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湖南省湘雅医学和健康基金会</w:t>
        <w:br/>
        <w:t>财务报表附注</w:t>
      </w:r>
    </w:p>
    <w:p>
      <w:pPr>
        <w:pStyle w:val="Style30"/>
        <w:keepNext/>
        <w:keepLines/>
        <w:widowControl w:val="0"/>
        <w:shd w:val="clear" w:color="auto" w:fill="auto"/>
        <w:tabs>
          <w:tab w:pos="910" w:val="left"/>
        </w:tabs>
        <w:bidi w:val="0"/>
        <w:spacing w:before="0" w:line="240" w:lineRule="auto"/>
        <w:ind w:left="0" w:right="0"/>
        <w:jc w:val="both"/>
      </w:pPr>
      <w:bookmarkStart w:id="24" w:name="bookmark24"/>
      <w:bookmarkStart w:id="25" w:name="bookmark25"/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</w:rPr>
        <w:t>一</w:t>
      </w:r>
      <w:bookmarkEnd w:id="26"/>
      <w:r>
        <w:rPr>
          <w:color w:val="000000"/>
          <w:spacing w:val="0"/>
          <w:w w:val="100"/>
          <w:position w:val="0"/>
        </w:rPr>
        <w:t>、</w:t>
        <w:tab/>
        <w:t>基本情况</w:t>
      </w:r>
      <w:bookmarkEnd w:id="24"/>
      <w:bookmarkEnd w:id="25"/>
      <w:bookmarkEnd w:id="27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湖南省湘雅医学和健康基金会（以下简称本基金会）于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2015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8</w:t>
      </w:r>
      <w:r>
        <w:rPr>
          <w:color w:val="000000"/>
          <w:spacing w:val="0"/>
          <w:w w:val="100"/>
          <w:position w:val="0"/>
        </w:rPr>
        <w:t>月经湖南省民政 厅批准登记。统一社会信用代码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5343000033644326XG</w:t>
      </w:r>
      <w:r>
        <w:rPr>
          <w:color w:val="000000"/>
          <w:spacing w:val="0"/>
          <w:w w:val="100"/>
          <w:position w:val="0"/>
          <w:sz w:val="19"/>
          <w:szCs w:val="19"/>
        </w:rPr>
        <w:t>；</w:t>
      </w:r>
      <w:r>
        <w:rPr>
          <w:color w:val="000000"/>
          <w:spacing w:val="0"/>
          <w:w w:val="100"/>
          <w:position w:val="0"/>
        </w:rPr>
        <w:t>法定代表人：肖平。类型：非公募。 原始基金数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200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业务范围：弘扬湘雅精神，资助扶持贫困患者；支持医院提高医疗服务质量和管理水平; 扶植医院学科建设，资助与支持学术交流；支持卫生人才培养，投入与健康事业有关的其他 项目。</w:t>
      </w:r>
    </w:p>
    <w:p>
      <w:pPr>
        <w:pStyle w:val="Style30"/>
        <w:keepNext/>
        <w:keepLines/>
        <w:widowControl w:val="0"/>
        <w:shd w:val="clear" w:color="auto" w:fill="auto"/>
        <w:tabs>
          <w:tab w:pos="910" w:val="left"/>
        </w:tabs>
        <w:bidi w:val="0"/>
        <w:spacing w:before="0" w:line="240" w:lineRule="auto"/>
        <w:ind w:left="0" w:right="0"/>
        <w:jc w:val="both"/>
      </w:pPr>
      <w:bookmarkStart w:id="28" w:name="bookmark28"/>
      <w:bookmarkStart w:id="29" w:name="bookmark29"/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</w:rPr>
        <w:t>二</w:t>
      </w:r>
      <w:bookmarkEnd w:id="30"/>
      <w:r>
        <w:rPr>
          <w:color w:val="000000"/>
          <w:spacing w:val="0"/>
          <w:w w:val="100"/>
          <w:position w:val="0"/>
        </w:rPr>
        <w:t>、</w:t>
        <w:tab/>
        <w:t>财务报表的编制基础</w:t>
      </w:r>
      <w:bookmarkEnd w:id="28"/>
      <w:bookmarkEnd w:id="29"/>
      <w:bookmarkEnd w:id="31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300" w:line="468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本基金会管理层对基金会持续运营能力评估后，认为基金会不存在可能导致持续运营产 生重大疑虑的事项或情况，本基金会财务报表是按照持续运营假设为基础编制的。</w:t>
      </w:r>
    </w:p>
    <w:p>
      <w:pPr>
        <w:pStyle w:val="Style30"/>
        <w:keepNext/>
        <w:keepLines/>
        <w:widowControl w:val="0"/>
        <w:shd w:val="clear" w:color="auto" w:fill="auto"/>
        <w:tabs>
          <w:tab w:pos="924" w:val="left"/>
        </w:tabs>
        <w:bidi w:val="0"/>
        <w:spacing w:before="0" w:after="0" w:line="240" w:lineRule="auto"/>
        <w:ind w:left="0" w:right="0"/>
        <w:jc w:val="both"/>
      </w:pPr>
      <w:bookmarkStart w:id="32" w:name="bookmark32"/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</w:rPr>
        <w:t>三</w:t>
      </w:r>
      <w:bookmarkEnd w:id="34"/>
      <w:r>
        <w:rPr>
          <w:color w:val="000000"/>
          <w:spacing w:val="0"/>
          <w:w w:val="100"/>
          <w:position w:val="0"/>
        </w:rPr>
        <w:t>、</w:t>
        <w:tab/>
        <w:t>财务报表符合《民间非营利组织会计制度》的声明</w:t>
      </w:r>
      <w:bookmarkEnd w:id="32"/>
      <w:bookmarkEnd w:id="33"/>
      <w:bookmarkEnd w:id="35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300" w:line="461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本基金会财务报表的编制符合《民间非营利组织会计制度》的要求，真实、完整地反映 了本基金会的财务状况、业务活动情况和现金流量。</w:t>
      </w:r>
    </w:p>
    <w:p>
      <w:pPr>
        <w:pStyle w:val="Style30"/>
        <w:keepNext/>
        <w:keepLines/>
        <w:widowControl w:val="0"/>
        <w:shd w:val="clear" w:color="auto" w:fill="auto"/>
        <w:tabs>
          <w:tab w:pos="924" w:val="left"/>
        </w:tabs>
        <w:bidi w:val="0"/>
        <w:spacing w:before="0" w:after="300" w:line="240" w:lineRule="auto"/>
        <w:ind w:left="0" w:right="0"/>
        <w:jc w:val="both"/>
      </w:pPr>
      <w:bookmarkStart w:id="36" w:name="bookmark36"/>
      <w:bookmarkStart w:id="37" w:name="bookmark37"/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</w:rPr>
        <w:t>四</w:t>
      </w:r>
      <w:bookmarkEnd w:id="38"/>
      <w:r>
        <w:rPr>
          <w:color w:val="000000"/>
          <w:spacing w:val="0"/>
          <w:w w:val="100"/>
          <w:position w:val="0"/>
        </w:rPr>
        <w:t>、</w:t>
        <w:tab/>
        <w:t>主要会计政策</w:t>
      </w:r>
      <w:bookmarkEnd w:id="36"/>
      <w:bookmarkEnd w:id="37"/>
      <w:bookmarkEnd w:id="39"/>
    </w:p>
    <w:p>
      <w:pPr>
        <w:pStyle w:val="Style32"/>
        <w:keepNext w:val="0"/>
        <w:keepLines w:val="0"/>
        <w:widowControl w:val="0"/>
        <w:shd w:val="clear" w:color="auto" w:fill="auto"/>
        <w:tabs>
          <w:tab w:pos="785" w:val="left"/>
        </w:tabs>
        <w:bidi w:val="0"/>
        <w:spacing w:before="0" w:after="0" w:line="434" w:lineRule="auto"/>
        <w:ind w:left="0" w:right="0" w:firstLine="400"/>
        <w:jc w:val="both"/>
      </w:pPr>
      <w:bookmarkStart w:id="40" w:name="bookmark4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</w:t>
      </w:r>
      <w:bookmarkEnd w:id="40"/>
      <w:r>
        <w:rPr>
          <w:color w:val="000000"/>
          <w:spacing w:val="0"/>
          <w:w w:val="100"/>
          <w:position w:val="0"/>
        </w:rPr>
        <w:t>、</w:t>
        <w:tab/>
        <w:t>会计制度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300" w:line="396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本基金会应执行中华人民共和国财政部颁发的《民间非营利组织会计制度》及其补充规 定。</w:t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pos="785" w:val="left"/>
        </w:tabs>
        <w:bidi w:val="0"/>
        <w:spacing w:before="0" w:after="0" w:line="442" w:lineRule="auto"/>
        <w:ind w:left="0" w:right="0" w:firstLine="400"/>
        <w:jc w:val="both"/>
      </w:pPr>
      <w:bookmarkStart w:id="41" w:name="bookmark4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</w:t>
      </w:r>
      <w:bookmarkEnd w:id="41"/>
      <w:r>
        <w:rPr>
          <w:color w:val="000000"/>
          <w:spacing w:val="0"/>
          <w:w w:val="100"/>
          <w:position w:val="0"/>
        </w:rPr>
        <w:t>、</w:t>
        <w:tab/>
        <w:t>会计期间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本基金会以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</w:rPr>
        <w:t>日起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31</w:t>
      </w:r>
      <w:r>
        <w:rPr>
          <w:color w:val="000000"/>
          <w:spacing w:val="0"/>
          <w:w w:val="100"/>
          <w:position w:val="0"/>
        </w:rPr>
        <w:t>日止为一个会计年度。</w:t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pos="785" w:val="left"/>
        </w:tabs>
        <w:bidi w:val="0"/>
        <w:spacing w:before="0" w:after="0"/>
        <w:ind w:left="0" w:right="0" w:firstLine="400"/>
        <w:jc w:val="both"/>
      </w:pPr>
      <w:bookmarkStart w:id="42" w:name="bookmark4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3</w:t>
      </w:r>
      <w:bookmarkEnd w:id="42"/>
      <w:r>
        <w:rPr>
          <w:color w:val="000000"/>
          <w:spacing w:val="0"/>
          <w:w w:val="100"/>
          <w:position w:val="0"/>
        </w:rPr>
        <w:t>、</w:t>
        <w:tab/>
        <w:t>记账本位币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本基金会以人民币为记账本位币。</w:t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pos="785" w:val="left"/>
        </w:tabs>
        <w:bidi w:val="0"/>
        <w:spacing w:before="0" w:after="0"/>
        <w:ind w:left="0" w:right="0" w:firstLine="400"/>
        <w:jc w:val="both"/>
      </w:pPr>
      <w:bookmarkStart w:id="43" w:name="bookmark4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4</w:t>
      </w:r>
      <w:bookmarkEnd w:id="43"/>
      <w:r>
        <w:rPr>
          <w:color w:val="000000"/>
          <w:spacing w:val="0"/>
          <w:w w:val="100"/>
          <w:position w:val="0"/>
        </w:rPr>
        <w:t>、</w:t>
        <w:tab/>
        <w:t>记账基础和计价原则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本基金会会计核算以权责发生制为记账基础，资产以历史成本为计价原则。</w:t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pos="785" w:val="left"/>
        </w:tabs>
        <w:bidi w:val="0"/>
        <w:spacing w:before="0" w:after="0" w:line="396" w:lineRule="exact"/>
        <w:ind w:left="0" w:right="0" w:firstLine="400"/>
        <w:jc w:val="both"/>
      </w:pPr>
      <w:bookmarkStart w:id="44" w:name="bookmark4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5</w:t>
      </w:r>
      <w:bookmarkEnd w:id="44"/>
      <w:r>
        <w:rPr>
          <w:color w:val="000000"/>
          <w:spacing w:val="0"/>
          <w:w w:val="100"/>
          <w:position w:val="0"/>
        </w:rPr>
        <w:t>、</w:t>
        <w:tab/>
        <w:t>外币业务核算方法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140" w:line="396" w:lineRule="exact"/>
        <w:ind w:left="0" w:right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311" w:right="1738" w:bottom="1081" w:left="1759" w:header="883" w:footer="65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本基金会会计年度内涉及的外币经营业务，按业务实际发生日（当月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</w:rPr>
        <w:t>日）市场汇价 （中间价）折合为人民币记账,月（年）末对货币性项目按月（年）末的市场汇率进行调整, 由此产生的汇兑损益，按用途及性质计入当期财务费用或予以资本化。</w:t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pos="820" w:val="left"/>
        </w:tabs>
        <w:bidi w:val="0"/>
        <w:spacing w:before="0" w:after="0" w:line="464" w:lineRule="exact"/>
        <w:ind w:left="0" w:right="0" w:firstLine="440"/>
        <w:jc w:val="both"/>
      </w:pPr>
      <w:bookmarkStart w:id="45" w:name="bookmark4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zh-CN" w:eastAsia="zh-CN" w:bidi="zh-CN"/>
        </w:rPr>
        <w:t>6</w:t>
      </w:r>
      <w:bookmarkEnd w:id="45"/>
      <w:r>
        <w:rPr>
          <w:color w:val="000000"/>
          <w:spacing w:val="0"/>
          <w:w w:val="100"/>
          <w:position w:val="0"/>
          <w:lang w:val="zh-CN" w:eastAsia="zh-CN" w:bidi="zh-CN"/>
        </w:rPr>
        <w:t>、</w:t>
        <w:tab/>
      </w:r>
      <w:r>
        <w:rPr>
          <w:color w:val="000000"/>
          <w:spacing w:val="0"/>
          <w:w w:val="100"/>
          <w:position w:val="0"/>
        </w:rPr>
        <w:t>坏账核算办法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398" w:lineRule="exact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本基金会的坏账核算采用备抵法,坏账准备的计提采用账龄分析法，坏账准备对账龄在 一年以内的账款余额不提取；对账龄在一年以上两年以内的账款余额提取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5%</w:t>
      </w:r>
      <w:r>
        <w:rPr>
          <w:color w:val="000000"/>
          <w:spacing w:val="0"/>
          <w:w w:val="100"/>
          <w:position w:val="0"/>
        </w:rPr>
        <w:t>的坏账准备； 对账龄在两年以上三年以内的账款余额提取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10%</w:t>
      </w:r>
      <w:r>
        <w:rPr>
          <w:color w:val="000000"/>
          <w:spacing w:val="0"/>
          <w:w w:val="100"/>
          <w:position w:val="0"/>
        </w:rPr>
        <w:t>的坏账准备；对账龄在三年以上的账款余 额，提取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20%</w:t>
      </w:r>
      <w:r>
        <w:rPr>
          <w:color w:val="000000"/>
          <w:spacing w:val="0"/>
          <w:w w:val="100"/>
          <w:position w:val="0"/>
        </w:rPr>
        <w:t>的坏账准备。对确实可以收回的应收款项不计提坏账准备。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398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本基金会的坏账确认标准：</w:t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pos="928" w:val="left"/>
        </w:tabs>
        <w:bidi w:val="0"/>
        <w:spacing w:before="0" w:after="0" w:line="464" w:lineRule="exact"/>
        <w:ind w:left="0" w:right="0" w:firstLine="440"/>
        <w:jc w:val="both"/>
      </w:pPr>
      <w:bookmarkStart w:id="46" w:name="bookmark46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4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1）</w:t>
        <w:tab/>
      </w:r>
      <w:r>
        <w:rPr>
          <w:color w:val="000000"/>
          <w:spacing w:val="0"/>
          <w:w w:val="100"/>
          <w:position w:val="0"/>
        </w:rPr>
        <w:t>债务人破产或死亡，以其破产财产或遗产清偿后，仍然不能收回的；</w:t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pos="913" w:val="left"/>
        </w:tabs>
        <w:bidi w:val="0"/>
        <w:spacing w:before="0" w:after="100" w:line="482" w:lineRule="exact"/>
        <w:ind w:left="0" w:right="0" w:firstLine="500"/>
        <w:jc w:val="both"/>
      </w:pPr>
      <w:bookmarkStart w:id="47" w:name="bookmark47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4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2）</w:t>
        <w:tab/>
      </w:r>
      <w:r>
        <w:rPr>
          <w:color w:val="000000"/>
          <w:spacing w:val="0"/>
          <w:w w:val="100"/>
          <w:position w:val="0"/>
        </w:rPr>
        <w:t>债务人较长时期内未履行其偿债义务，并有足够的证据表明无法收回或收回的可 能性极小。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pos="820" w:val="left"/>
        </w:tabs>
        <w:bidi w:val="0"/>
        <w:spacing w:before="0" w:after="0" w:line="461" w:lineRule="exact"/>
        <w:ind w:left="0" w:right="0" w:firstLine="440"/>
        <w:jc w:val="both"/>
      </w:pPr>
      <w:bookmarkStart w:id="48" w:name="bookmark4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7</w:t>
      </w:r>
      <w:bookmarkEnd w:id="48"/>
      <w:r>
        <w:rPr>
          <w:color w:val="000000"/>
          <w:spacing w:val="0"/>
          <w:w w:val="100"/>
          <w:position w:val="0"/>
        </w:rPr>
        <w:t>、</w:t>
        <w:tab/>
        <w:t>固定资产计价及其折旧方法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461" w:lineRule="exact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固定资产是指为行政管理、提供服务、生产商品或者出租目的而持有的，预计使用年限 超过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</w:rPr>
        <w:t>年，且单位价值较高的资产。</w:t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pos="928" w:val="left"/>
        </w:tabs>
        <w:bidi w:val="0"/>
        <w:spacing w:before="0" w:after="0" w:line="461" w:lineRule="exact"/>
        <w:ind w:left="0" w:right="0" w:firstLine="440"/>
        <w:jc w:val="both"/>
      </w:pPr>
      <w:bookmarkStart w:id="49" w:name="bookmark49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4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1）</w:t>
        <w:tab/>
      </w:r>
      <w:r>
        <w:rPr>
          <w:color w:val="000000"/>
          <w:spacing w:val="0"/>
          <w:w w:val="100"/>
          <w:position w:val="0"/>
        </w:rPr>
        <w:t>固定资产按取得时实际成本计价。</w:t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pos="928" w:val="left"/>
        </w:tabs>
        <w:bidi w:val="0"/>
        <w:spacing w:before="0" w:after="240" w:line="461" w:lineRule="exact"/>
        <w:ind w:left="0" w:right="0" w:firstLine="440"/>
        <w:jc w:val="both"/>
      </w:pPr>
      <w:bookmarkStart w:id="50" w:name="bookmark50"/>
      <w:r>
        <w:rPr>
          <w:color w:val="000000"/>
          <w:spacing w:val="0"/>
          <w:w w:val="100"/>
          <w:position w:val="0"/>
          <w:sz w:val="19"/>
          <w:szCs w:val="19"/>
        </w:rPr>
        <w:t>（</w:t>
      </w:r>
      <w:bookmarkEnd w:id="5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2）</w:t>
        <w:tab/>
      </w:r>
      <w:r>
        <w:rPr>
          <w:color w:val="000000"/>
          <w:spacing w:val="0"/>
          <w:w w:val="100"/>
          <w:position w:val="0"/>
        </w:rPr>
        <w:t>固定资产折旧釆用年限平均法计算。</w:t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pos="928" w:val="left"/>
        </w:tabs>
        <w:bidi w:val="0"/>
        <w:spacing w:before="0" w:after="0" w:line="506" w:lineRule="auto"/>
        <w:ind w:left="0" w:right="0" w:firstLine="440"/>
        <w:jc w:val="both"/>
      </w:pPr>
      <w:bookmarkStart w:id="51" w:name="bookmark5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（</w:t>
      </w:r>
      <w:bookmarkEnd w:id="5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3）</w:t>
        <w:tab/>
      </w:r>
      <w:r>
        <w:rPr>
          <w:color w:val="000000"/>
          <w:spacing w:val="0"/>
          <w:w w:val="100"/>
          <w:position w:val="0"/>
        </w:rPr>
        <w:t>不计提折旧的固定资产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100" w:line="461" w:lineRule="exact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房屋不计提累计折旧；用于展览、教育或研究等目的的历史文物、艺术品以及其他具有 文化或者历史价值并作为长期或者永久保存的典藏等，作为固定资产核算，不必计提折旧。</w:t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pos="820" w:val="left"/>
        </w:tabs>
        <w:bidi w:val="0"/>
        <w:spacing w:before="0" w:after="0" w:line="468" w:lineRule="exact"/>
        <w:ind w:left="0" w:right="0" w:firstLine="440"/>
        <w:jc w:val="both"/>
      </w:pPr>
      <w:bookmarkStart w:id="52" w:name="bookmark5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8</w:t>
      </w:r>
      <w:bookmarkEnd w:id="52"/>
      <w:r>
        <w:rPr>
          <w:color w:val="000000"/>
          <w:spacing w:val="0"/>
          <w:w w:val="100"/>
          <w:position w:val="0"/>
        </w:rPr>
        <w:t>、</w:t>
        <w:tab/>
        <w:t>限定性净资产、非限定性净资产确认原则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100" w:line="468" w:lineRule="exact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资产或资产所产生的经济利益（如资产的投资利益和利息等）的使用受到资产提供者或 者国家有关法律、行政法规所设置的时间限定或（和）用途限定，则由此形成的净资产为限 定性净资产；除此之外的其他净资产，为非限定性净资产。</w:t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pos="820" w:val="left"/>
        </w:tabs>
        <w:bidi w:val="0"/>
        <w:spacing w:before="0" w:after="0" w:line="472" w:lineRule="exact"/>
        <w:ind w:left="0" w:right="0" w:firstLine="440"/>
        <w:jc w:val="both"/>
      </w:pPr>
      <w:bookmarkStart w:id="53" w:name="bookmark5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9</w:t>
      </w:r>
      <w:bookmarkEnd w:id="53"/>
      <w:r>
        <w:rPr>
          <w:color w:val="000000"/>
          <w:spacing w:val="0"/>
          <w:w w:val="100"/>
          <w:position w:val="0"/>
        </w:rPr>
        <w:t>、</w:t>
        <w:tab/>
        <w:t>收入确认原则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472" w:lineRule="exact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收入是指民间非营利组织开展业务活动取得的、导致本期净资产增加的经济利益或者服 务潜力的流入。收入应当按照其来源分为捐赠收入、政府补助收入、提供服务收入、投资收 益、商品销售收入和其他收入等。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47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本基金会按以下规定确认收入实现，并按已实现的收入记账，计入当期损益。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47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基金会在确认收入时，应当区分交换交易所形成的收入和非交换交易所形成的收入。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240" w:line="47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 xml:space="preserve">销售商品，已将商品所有权上的主要风险和报酬转换给购货方；既没有保留通常与所有 </w:t>
      </w:r>
      <w:r>
        <w:rPr>
          <w:color w:val="000000"/>
          <w:spacing w:val="0"/>
          <w:w w:val="100"/>
          <w:position w:val="0"/>
        </w:rPr>
        <w:t>权相联系的继续管理权，也没有对已出售的商品实施控制；与交易相关的经济利益能够流入;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sectPr>
          <w:headerReference w:type="default" r:id="rId29"/>
          <w:footerReference w:type="default" r:id="rId30"/>
          <w:footnotePr>
            <w:pos w:val="pageBottom"/>
            <w:numFmt w:val="decimal"/>
            <w:numRestart w:val="continuous"/>
          </w:footnotePr>
          <w:pgSz w:w="11900" w:h="16840"/>
          <w:pgMar w:top="1311" w:right="1738" w:bottom="1081" w:left="1759" w:header="883" w:footer="3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相关收入和成本能够可靠地计量时确认收入。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472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提供劳务，在同一会计年度内开始并完成的劳务，应当在完成劳务时确认收入；如果劳 务的开始和完成分属不同的会计年度，可以按照完工进度完成的工作量确认收入。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472" w:lineRule="exact"/>
        <w:ind w:left="0" w:right="0" w:firstLine="480"/>
        <w:jc w:val="left"/>
      </w:pPr>
      <w:r>
        <w:rPr>
          <w:color w:val="000000"/>
          <w:spacing w:val="0"/>
          <w:w w:val="100"/>
          <w:position w:val="0"/>
        </w:rPr>
        <w:t>让渡资产使用权，与交易相关的经济利益能够流入；收入的金额能够可靠地计量。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472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无条件的捐赠或政府补助，在收到时确认收入；附条件的捐赠或政府补助，在取得捐赠 资产或政府补助资产控制权时确认收入;但当基金会存在需要偿还全部或部分捐赠资产或者 相应金额的现时义务时，应当根据需要偿还的金额确认一项负债和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>费用.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360" w:line="472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接受捐赠的非货币性资产，应当以其公允价值计算。捐赠方在向基金会捐赠时，应当提 供注明捐赠非货币性资产公允价值的证明，如果不能提供上述证明，不得向其开具公益性捐 赠票据或者《非税收入一般缴款书》收据，不得确认为捐赠收入。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480"/>
        <w:jc w:val="left"/>
      </w:pPr>
      <w:bookmarkStart w:id="54" w:name="bookmark54"/>
      <w:bookmarkStart w:id="55" w:name="bookmark55"/>
      <w:bookmarkStart w:id="56" w:name="bookmark56"/>
      <w:bookmarkStart w:id="57" w:name="bookmark57"/>
      <w:r>
        <w:rPr>
          <w:color w:val="000000"/>
          <w:spacing w:val="0"/>
          <w:w w:val="100"/>
          <w:position w:val="0"/>
        </w:rPr>
        <w:t>五</w:t>
      </w:r>
      <w:bookmarkEnd w:id="56"/>
      <w:r>
        <w:rPr>
          <w:color w:val="000000"/>
          <w:spacing w:val="0"/>
          <w:w w:val="100"/>
          <w:position w:val="0"/>
        </w:rPr>
        <w:t>、财务报表主要项目注释</w:t>
      </w:r>
      <w:bookmarkEnd w:id="54"/>
      <w:bookmarkEnd w:id="55"/>
      <w:bookmarkEnd w:id="57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480"/>
        <w:jc w:val="left"/>
      </w:pPr>
      <w:bookmarkStart w:id="58" w:name="bookmark5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</w:t>
      </w:r>
      <w:bookmarkEnd w:id="58"/>
      <w:r>
        <w:rPr>
          <w:color w:val="000000"/>
          <w:spacing w:val="0"/>
          <w:w w:val="100"/>
          <w:position w:val="0"/>
        </w:rPr>
        <w:t>、货币资金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480"/>
        <w:jc w:val="left"/>
        <w:rPr>
          <w:sz w:val="17"/>
          <w:szCs w:val="17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</w:rPr>
        <w:t>期初数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6105914.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</w:rPr>
        <w:t>元，期末余额为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6454350.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63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</w:rPr>
        <w:t>元。</w:t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pos="853" w:val="left"/>
        </w:tabs>
        <w:bidi w:val="0"/>
        <w:spacing w:before="0" w:after="220" w:line="240" w:lineRule="auto"/>
        <w:ind w:left="0" w:right="0" w:firstLine="480"/>
        <w:jc w:val="left"/>
      </w:pPr>
      <w:bookmarkStart w:id="59" w:name="bookmark5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</w:t>
      </w:r>
      <w:bookmarkEnd w:id="59"/>
      <w:r>
        <w:rPr>
          <w:color w:val="000000"/>
          <w:spacing w:val="0"/>
          <w:w w:val="100"/>
          <w:position w:val="0"/>
        </w:rPr>
        <w:t>、</w:t>
        <w:tab/>
        <w:t>短期投资：期末余额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0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pos="853" w:val="left"/>
        </w:tabs>
        <w:bidi w:val="0"/>
        <w:spacing w:before="0" w:after="100" w:line="240" w:lineRule="auto"/>
        <w:ind w:left="0" w:right="0" w:firstLine="480"/>
        <w:jc w:val="left"/>
      </w:pPr>
      <w:bookmarkStart w:id="60" w:name="bookmark6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3</w:t>
      </w:r>
      <w:bookmarkEnd w:id="60"/>
      <w:r>
        <w:rPr>
          <w:color w:val="000000"/>
          <w:spacing w:val="0"/>
          <w:w w:val="100"/>
          <w:position w:val="0"/>
        </w:rPr>
        <w:t>、</w:t>
        <w:tab/>
        <w:t>净资产</w:t>
      </w:r>
    </w:p>
    <w:tbl>
      <w:tblPr>
        <w:tblOverlap w:val="never"/>
        <w:jc w:val="center"/>
        <w:tblLayout w:type="fixed"/>
      </w:tblPr>
      <w:tblGrid>
        <w:gridCol w:w="1685"/>
        <w:gridCol w:w="1634"/>
        <w:gridCol w:w="1642"/>
        <w:gridCol w:w="1649"/>
        <w:gridCol w:w="1663"/>
      </w:tblGrid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年初账面余额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本年增加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本年减少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年末账面余额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、限定性净资产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、非限定性净资产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6005914.13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448436.50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6454350.63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合计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6005914.13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448436.50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6454350.63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480"/>
        <w:jc w:val="both"/>
      </w:pPr>
      <w:bookmarkStart w:id="61" w:name="bookmark6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</w:t>
      </w:r>
      <w:bookmarkEnd w:id="61"/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</w:rPr>
        <w:t>、收入:本期累计收入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1879538.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</w:rPr>
        <w:t>元，其中：捐赠收入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1646234.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</w:rPr>
        <w:t>元，其他收入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33304.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15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元，政府补助收入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200000.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00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360"/>
        <w:jc w:val="left"/>
      </w:pPr>
      <w:bookmarkStart w:id="62" w:name="bookmark6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5</w:t>
      </w:r>
      <w:bookmarkEnd w:id="62"/>
      <w:r>
        <w:rPr>
          <w:color w:val="000000"/>
          <w:spacing w:val="0"/>
          <w:w w:val="100"/>
          <w:position w:val="0"/>
        </w:rPr>
        <w:t>、业务活动成本</w:t>
      </w:r>
    </w:p>
    <w:tbl>
      <w:tblPr>
        <w:tblOverlap w:val="never"/>
        <w:jc w:val="center"/>
        <w:tblLayout w:type="fixed"/>
      </w:tblPr>
      <w:tblGrid>
        <w:gridCol w:w="2772"/>
        <w:gridCol w:w="2736"/>
        <w:gridCol w:w="2772"/>
      </w:tblGrid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本年发生额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上年发生额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业务活动成本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1356332.28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739110.19</w:t>
            </w:r>
          </w:p>
        </w:tc>
      </w:tr>
    </w:tbl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220" w:line="468" w:lineRule="exact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其中：专病种救助费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79304.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00</w:t>
      </w:r>
      <w:r>
        <w:rPr>
          <w:color w:val="000000"/>
          <w:spacing w:val="0"/>
          <w:w w:val="100"/>
          <w:position w:val="0"/>
        </w:rPr>
        <w:t>元，湘雅医院文化建设项目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69330.00</w:t>
      </w:r>
      <w:r>
        <w:rPr>
          <w:color w:val="000000"/>
          <w:spacing w:val="0"/>
          <w:w w:val="100"/>
          <w:position w:val="0"/>
        </w:rPr>
        <w:t>元，明天计划配套 服务费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5500.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00</w:t>
      </w:r>
      <w:r>
        <w:rPr>
          <w:color w:val="000000"/>
          <w:spacing w:val="0"/>
          <w:w w:val="100"/>
          <w:position w:val="0"/>
        </w:rPr>
        <w:t>元，志愿服务在医院项目活动支出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189840.80</w:t>
      </w:r>
      <w:r>
        <w:rPr>
          <w:color w:val="000000"/>
          <w:spacing w:val="0"/>
          <w:w w:val="100"/>
          <w:position w:val="0"/>
        </w:rPr>
        <w:t xml:space="preserve">元，爱心营养汤项目支出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14551.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00</w:t>
      </w:r>
      <w:r>
        <w:rPr>
          <w:color w:val="000000"/>
          <w:spacing w:val="0"/>
          <w:w w:val="100"/>
          <w:position w:val="0"/>
        </w:rPr>
        <w:t>元，萌芽计划活动支出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705912.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17</w:t>
      </w:r>
      <w:r>
        <w:rPr>
          <w:color w:val="000000"/>
          <w:spacing w:val="0"/>
          <w:w w:val="100"/>
          <w:position w:val="0"/>
        </w:rPr>
        <w:t>元，人才培训支出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47500.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00</w:t>
      </w:r>
      <w:r>
        <w:rPr>
          <w:color w:val="000000"/>
          <w:spacing w:val="0"/>
          <w:w w:val="100"/>
          <w:position w:val="0"/>
        </w:rPr>
        <w:t>元，人道社工发展 项目支,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41306.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00</w:t>
      </w:r>
      <w:r>
        <w:rPr>
          <w:color w:val="000000"/>
          <w:spacing w:val="0"/>
          <w:w w:val="100"/>
          <w:position w:val="0"/>
        </w:rPr>
        <w:t>元，民政厅福彩公益金项目支出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203088.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31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514" w:lineRule="auto"/>
        <w:ind w:left="0" w:right="0" w:firstLine="360"/>
        <w:jc w:val="both"/>
      </w:pPr>
      <w:bookmarkStart w:id="63" w:name="bookmark6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6</w:t>
      </w:r>
      <w:bookmarkEnd w:id="63"/>
      <w:r>
        <w:rPr>
          <w:color w:val="000000"/>
          <w:spacing w:val="0"/>
          <w:w w:val="100"/>
          <w:position w:val="0"/>
        </w:rPr>
        <w:t>、管理费用</w:t>
      </w:r>
    </w:p>
    <w:tbl>
      <w:tblPr>
        <w:tblOverlap w:val="never"/>
        <w:jc w:val="center"/>
        <w:tblLayout w:type="fixed"/>
      </w:tblPr>
      <w:tblGrid>
        <w:gridCol w:w="4529"/>
        <w:gridCol w:w="1872"/>
        <w:gridCol w:w="1901"/>
      </w:tblGrid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巍旦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本年发生额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上年发生额</w:t>
            </w:r>
            <w:r>
              <w:rPr>
                <w:color w:val="000000"/>
                <w:spacing w:val="0"/>
                <w:w w:val="100"/>
                <w:position w:val="0"/>
              </w:rPr>
              <w:t>’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合计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74769.57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18492.80</w:t>
            </w:r>
          </w:p>
        </w:tc>
      </w:tr>
    </w:tbl>
    <w:p>
      <w:pPr>
        <w:sectPr>
          <w:headerReference w:type="default" r:id="rId31"/>
          <w:footerReference w:type="default" r:id="rId32"/>
          <w:footnotePr>
            <w:pos w:val="pageBottom"/>
            <w:numFmt w:val="decimal"/>
            <w:numRestart w:val="continuous"/>
          </w:footnotePr>
          <w:pgSz w:w="11900" w:h="16840"/>
          <w:pgMar w:top="1311" w:right="1738" w:bottom="1081" w:left="1759" w:header="883" w:footer="653" w:gutter="0"/>
          <w:pgNumType w:start="1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400"/>
        <w:jc w:val="left"/>
      </w:pPr>
      <w:bookmarkStart w:id="64" w:name="bookmark64"/>
      <w:r>
        <w:rPr>
          <w:color w:val="000000"/>
          <w:spacing w:val="0"/>
          <w:w w:val="100"/>
          <w:position w:val="0"/>
        </w:rPr>
        <w:t>六</w:t>
      </w:r>
      <w:bookmarkEnd w:id="64"/>
      <w:r>
        <w:rPr>
          <w:color w:val="000000"/>
          <w:spacing w:val="0"/>
          <w:w w:val="100"/>
          <w:position w:val="0"/>
        </w:rPr>
        <w:t xml:space="preserve">、主要理事会成员和职工的数量、变动情况以及获得的薪金等报酬情况的 </w:t>
      </w:r>
      <w:r>
        <w:rPr>
          <w:color w:val="000000"/>
          <w:spacing w:val="0"/>
          <w:w w:val="100"/>
          <w:position w:val="0"/>
        </w:rPr>
        <w:t>说明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</w:rPr>
        <w:t>、本基金会理事会成员的姓名、工作单位及领取报酬情况列示如下:</w:t>
      </w:r>
    </w:p>
    <w:tbl>
      <w:tblPr>
        <w:tblOverlap w:val="never"/>
        <w:jc w:val="center"/>
        <w:tblLayout w:type="fixed"/>
      </w:tblPr>
      <w:tblGrid>
        <w:gridCol w:w="569"/>
        <w:gridCol w:w="936"/>
        <w:gridCol w:w="2290"/>
        <w:gridCol w:w="2484"/>
        <w:gridCol w:w="1994"/>
      </w:tblGrid>
      <w:tr>
        <w:trPr>
          <w:trHeight w:val="533" w:hRule="exact"/>
        </w:trPr>
        <w:tc>
          <w:tcPr>
            <w:tcBorders>
              <w:top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4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理事会职务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本年度在基金会领取 的津贴（人民币元）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肖平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理事长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'湘雅医院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220" w:line="482" w:lineRule="exact"/>
        <w:ind w:left="0" w:right="0" w:firstLine="420"/>
        <w:jc w:val="both"/>
      </w:pPr>
      <w:bookmarkStart w:id="65" w:name="bookmark65"/>
      <w:r>
        <w:rPr>
          <w:color w:val="000000"/>
          <w:spacing w:val="0"/>
          <w:w w:val="100"/>
          <w:position w:val="0"/>
        </w:rPr>
        <w:t>七</w:t>
      </w:r>
      <w:bookmarkEnd w:id="65"/>
      <w:r>
        <w:rPr>
          <w:color w:val="000000"/>
          <w:spacing w:val="0"/>
          <w:w w:val="100"/>
          <w:position w:val="0"/>
        </w:rPr>
        <w:t>、</w:t>
        <w:tab/>
        <w:t>在计算公益事业支出比例、工作人员工资福利和行政办公支出比例时需 要具体说明的事项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924" w:val="left"/>
        </w:tabs>
        <w:bidi w:val="0"/>
        <w:spacing w:before="0" w:after="220" w:line="482" w:lineRule="exact"/>
        <w:ind w:left="0" w:right="0" w:firstLine="400"/>
        <w:jc w:val="left"/>
      </w:pPr>
      <w:bookmarkStart w:id="66" w:name="bookmark66"/>
      <w:r>
        <w:rPr>
          <w:color w:val="000000"/>
          <w:spacing w:val="0"/>
          <w:w w:val="100"/>
          <w:position w:val="0"/>
        </w:rPr>
        <w:t>八</w:t>
      </w:r>
      <w:bookmarkEnd w:id="66"/>
      <w:r>
        <w:rPr>
          <w:color w:val="000000"/>
          <w:spacing w:val="0"/>
          <w:w w:val="100"/>
          <w:position w:val="0"/>
        </w:rPr>
        <w:t>、</w:t>
        <w:tab/>
        <w:t>重大公益项目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924" w:val="left"/>
        </w:tabs>
        <w:bidi w:val="0"/>
        <w:spacing w:before="0" w:after="220" w:line="482" w:lineRule="exact"/>
        <w:ind w:left="0" w:right="0" w:firstLine="400"/>
        <w:jc w:val="left"/>
      </w:pPr>
      <w:bookmarkStart w:id="67" w:name="bookmark67"/>
      <w:r>
        <w:rPr>
          <w:color w:val="000000"/>
          <w:spacing w:val="0"/>
          <w:w w:val="100"/>
          <w:position w:val="0"/>
        </w:rPr>
        <w:t>九</w:t>
      </w:r>
      <w:bookmarkEnd w:id="67"/>
      <w:r>
        <w:rPr>
          <w:color w:val="000000"/>
          <w:spacing w:val="0"/>
          <w:w w:val="100"/>
          <w:position w:val="0"/>
        </w:rPr>
        <w:t>、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2008</w:t>
      </w:r>
      <w:r>
        <w:rPr>
          <w:color w:val="000000"/>
          <w:spacing w:val="0"/>
          <w:w w:val="100"/>
          <w:position w:val="0"/>
        </w:rPr>
        <w:t>年度接收的汶川地震抗震救灾款物本年度支出表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482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十、关联方关系及其交易的说明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482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十一、固定资产清查明细表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280"/>
        <w:jc w:val="both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482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十二、资产提供者设置了时间或用途限制的相关资产情况的说明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482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十三、受托代理业务情况的说明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482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十四、重大资产减值情况的说明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482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十五、公允价值无法可靠取得的受赠资产和其他资产的说明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十六、接受劳务捐赠情况的说明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400"/>
        <w:jc w:val="left"/>
        <w:sectPr>
          <w:headerReference w:type="default" r:id="rId33"/>
          <w:footerReference w:type="default" r:id="rId34"/>
          <w:footnotePr>
            <w:pos w:val="pageBottom"/>
            <w:numFmt w:val="decimal"/>
            <w:numRestart w:val="continuous"/>
          </w:footnotePr>
          <w:pgSz w:w="11900" w:h="16840"/>
          <w:pgMar w:top="1311" w:right="1738" w:bottom="1081" w:left="1759" w:header="883" w:footer="3" w:gutter="0"/>
          <w:pgNumType w:start="4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/>
        <w:jc w:val="left"/>
      </w:pPr>
      <w:bookmarkStart w:id="68" w:name="bookmark68"/>
      <w:bookmarkStart w:id="69" w:name="bookmark69"/>
      <w:bookmarkStart w:id="70" w:name="bookmark70"/>
      <w:r>
        <w:rPr>
          <w:color w:val="000000"/>
          <w:spacing w:val="0"/>
          <w:w w:val="100"/>
          <w:position w:val="0"/>
        </w:rPr>
        <w:t>十七、对外承诺和或有事项情况的说明</w:t>
      </w:r>
      <w:bookmarkEnd w:id="68"/>
      <w:bookmarkEnd w:id="69"/>
      <w:bookmarkEnd w:id="70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360" w:line="396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71" w:name="bookmark71"/>
      <w:bookmarkStart w:id="72" w:name="bookmark72"/>
      <w:bookmarkStart w:id="73" w:name="bookmark73"/>
      <w:r>
        <w:rPr>
          <w:color w:val="000000"/>
          <w:spacing w:val="0"/>
          <w:w w:val="100"/>
          <w:position w:val="0"/>
        </w:rPr>
        <w:t>十八、资产负债表日后非调整事项的说明</w:t>
      </w:r>
      <w:bookmarkEnd w:id="71"/>
      <w:bookmarkEnd w:id="72"/>
      <w:bookmarkEnd w:id="73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200" w:line="396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74" w:name="bookmark74"/>
      <w:bookmarkStart w:id="75" w:name="bookmark75"/>
      <w:bookmarkStart w:id="76" w:name="bookmark76"/>
      <w:r>
        <w:rPr>
          <w:color w:val="000000"/>
          <w:spacing w:val="0"/>
          <w:w w:val="100"/>
          <w:position w:val="0"/>
        </w:rPr>
        <w:t>十九、需要说明的其他事项</w:t>
      </w:r>
      <w:bookmarkEnd w:id="74"/>
      <w:bookmarkEnd w:id="75"/>
      <w:bookmarkEnd w:id="76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360" w:line="396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940" w:line="396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上述二。一七年度会计报表和会计报表有关附注，系我们按《民间非营利组织会计制度》 编制。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left"/>
        <w:sectPr>
          <w:headerReference w:type="default" r:id="rId35"/>
          <w:footerReference w:type="default" r:id="rId36"/>
          <w:footnotePr>
            <w:pos w:val="pageBottom"/>
            <w:numFmt w:val="decimal"/>
            <w:numRestart w:val="continuous"/>
          </w:footnotePr>
          <w:pgSz w:w="11900" w:h="16840"/>
          <w:pgMar w:top="1311" w:right="1738" w:bottom="1081" w:left="1759" w:header="883" w:footer="653" w:gutter="0"/>
          <w:pgNumType w:start="1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基金会名称：（盖章）湖南省湘雅医学和健康基金会</w:t>
      </w:r>
    </w:p>
    <w:p>
      <w:pPr>
        <w:widowControl w:val="0"/>
        <w:spacing w:line="193" w:lineRule="exact"/>
        <w:rPr>
          <w:sz w:val="15"/>
          <w:szCs w:val="1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97" w:right="0" w:bottom="159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基金会法人：（签名）肖平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97" w:right="2497" w:bottom="1597" w:left="2146" w:header="0" w:footer="3" w:gutter="0"/>
          <w:cols w:num="2" w:space="2489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日期年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31</w:t>
      </w:r>
      <w:r>
        <w:rPr>
          <w:color w:val="000000"/>
          <w:spacing w:val="0"/>
          <w:w w:val="100"/>
          <w:position w:val="0"/>
        </w:rPr>
        <w:t xml:space="preserve">日 </w:t>
      </w:r>
      <w:r>
        <w:rPr>
          <w:color w:val="000000"/>
          <w:spacing w:val="0"/>
          <w:w w:val="100"/>
          <w:position w:val="0"/>
        </w:rPr>
        <w:t>财务负责人：（签名） 日期</w:t>
      </w:r>
      <w:r>
        <w:rPr>
          <w:color w:val="000000"/>
          <w:spacing w:val="0"/>
          <w:w w:val="100"/>
          <w:position w:val="0"/>
          <w:sz w:val="19"/>
          <w:szCs w:val="19"/>
        </w:rPr>
        <w:t>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31</w:t>
      </w:r>
      <w:r>
        <w:rPr>
          <w:color w:val="000000"/>
          <w:spacing w:val="0"/>
          <w:w w:val="100"/>
          <w:position w:val="0"/>
        </w:rPr>
        <w:t>日</w:t>
      </w:r>
    </w:p>
    <w:p>
      <w:pPr>
        <w:pStyle w:val="Style46"/>
        <w:keepNext w:val="0"/>
        <w:keepLines w:val="0"/>
        <w:framePr w:w="475" w:h="2282" w:wrap="none" w:hAnchor="page" w:x="1010" w:y="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50"/>
          <w:szCs w:val="50"/>
          <w:lang w:val="zh-TW" w:eastAsia="zh-TW" w:bidi="zh-TW"/>
        </w:rPr>
        <w:t xml:space="preserve">三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BI </w:t>
      </w:r>
      <w:r>
        <w:rPr>
          <w:i/>
          <w:iCs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三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)G </w:t>
      </w:r>
      <w:r>
        <w:rPr>
          <w:color w:val="000000"/>
          <w:spacing w:val="0"/>
          <w:w w:val="100"/>
          <w:position w:val="0"/>
          <w:lang w:val="zh-TW" w:eastAsia="zh-TW" w:bidi="zh-TW"/>
        </w:rPr>
        <w:t xml:space="preserve">5； </w:t>
      </w:r>
      <w:r>
        <w:rPr>
          <w:color w:val="000000"/>
          <w:spacing w:val="0"/>
          <w:w w:val="100"/>
          <w:position w:val="0"/>
          <w:lang w:val="en-US" w:eastAsia="en-US" w:bidi="en-US"/>
        </w:rPr>
        <w:t>G|</w:t>
      </w:r>
    </w:p>
    <w:p>
      <w:pPr>
        <w:pStyle w:val="Style7"/>
        <w:keepNext/>
        <w:keepLines/>
        <w:framePr w:w="5436" w:h="2102" w:wrap="none" w:hAnchor="page" w:x="4415" w:y="26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8"/>
          <w:szCs w:val="128"/>
        </w:rPr>
      </w:pPr>
      <w:bookmarkStart w:id="77" w:name="bookmark77"/>
      <w:bookmarkStart w:id="78" w:name="bookmark78"/>
      <w:bookmarkStart w:id="79" w:name="bookmark79"/>
      <w:r>
        <w:rPr>
          <w:color w:val="000000"/>
          <w:spacing w:val="0"/>
          <w:w w:val="100"/>
          <w:position w:val="0"/>
          <w:sz w:val="128"/>
          <w:szCs w:val="128"/>
        </w:rPr>
        <w:t>理执照</w:t>
      </w:r>
      <w:bookmarkEnd w:id="77"/>
      <w:bookmarkEnd w:id="78"/>
      <w:bookmarkEnd w:id="79"/>
    </w:p>
    <w:p>
      <w:pPr>
        <w:pStyle w:val="Style14"/>
        <w:keepNext w:val="0"/>
        <w:keepLines w:val="0"/>
        <w:framePr w:w="5436" w:h="2102" w:wrap="none" w:hAnchor="page" w:x="4415" w:y="2615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6"/>
          <w:szCs w:val="26"/>
        </w:rPr>
        <w:t>（副统奄如信用代码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9143010577228287XJ</w:t>
      </w:r>
    </w:p>
    <w:p>
      <w:pPr>
        <w:pStyle w:val="Style2"/>
        <w:keepNext w:val="0"/>
        <w:keepLines w:val="0"/>
        <w:framePr w:w="360" w:h="1368" w:wrap="none" w:hAnchor="page" w:x="1766" w:y="5228"/>
        <w:widowControl w:val="0"/>
        <w:shd w:val="clear" w:color="auto" w:fill="auto"/>
        <w:bidi w:val="0"/>
        <w:spacing w:before="0" w:after="0" w:line="451" w:lineRule="exact"/>
        <w:ind w:left="0" w:right="0" w:firstLine="0"/>
        <w:jc w:val="center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FFFFFF"/>
        </w:rPr>
        <w:t>名</w:t>
        <w:br/>
        <w:t>类</w:t>
        <w:br/>
        <w:t>住</w:t>
      </w:r>
    </w:p>
    <w:p>
      <w:pPr>
        <w:pStyle w:val="Style2"/>
        <w:keepNext w:val="0"/>
        <w:keepLines w:val="0"/>
        <w:framePr w:w="1426" w:h="2290" w:wrap="none" w:hAnchor="page" w:x="1766" w:y="6611"/>
        <w:widowControl w:val="0"/>
        <w:shd w:val="clear" w:color="auto" w:fill="auto"/>
        <w:bidi w:val="0"/>
        <w:spacing w:before="0" w:after="0" w:line="451" w:lineRule="exact"/>
        <w:ind w:left="0" w:right="0" w:firstLine="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法定代表入 注册资本 成立日期 营业期限 经营范围</w:t>
      </w:r>
    </w:p>
    <w:p>
      <w:pPr>
        <w:pStyle w:val="Style2"/>
        <w:keepNext w:val="0"/>
        <w:keepLines w:val="0"/>
        <w:framePr w:w="5990" w:h="4457" w:wrap="none" w:hAnchor="page" w:x="3364" w:y="5084"/>
        <w:widowControl w:val="0"/>
        <w:shd w:val="clear" w:color="auto" w:fill="auto"/>
        <w:tabs>
          <w:tab w:pos="4406" w:val="left"/>
        </w:tabs>
        <w:bidi w:val="0"/>
        <w:spacing w:before="0" w:after="120" w:line="230" w:lineRule="exact"/>
        <w:ind w:left="0" w:right="0" w:firstLine="3940"/>
        <w:jc w:val="both"/>
      </w:pPr>
      <w:r>
        <w:rPr>
          <w:color w:val="000000"/>
          <w:spacing w:val="0"/>
          <w:w w:val="100"/>
          <w:position w:val="0"/>
        </w:rPr>
        <w:t>工抱林为 湖南博盛会计师事务所有限公司点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■'</w:t>
      </w:r>
    </w:p>
    <w:p>
      <w:pPr>
        <w:pStyle w:val="Style2"/>
        <w:keepNext w:val="0"/>
        <w:keepLines w:val="0"/>
        <w:framePr w:w="5990" w:h="4457" w:wrap="none" w:hAnchor="page" w:x="3364" w:y="5084"/>
        <w:widowControl w:val="0"/>
        <w:shd w:val="clear" w:color="auto" w:fill="auto"/>
        <w:bidi w:val="0"/>
        <w:spacing w:before="0" w:after="0" w:line="33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有限责任公司（自然人投资或捷籤）宇 长沙市开福区四方坪街道双拥蹴 </w:t>
      </w:r>
      <w:r>
        <w:rPr>
          <w:color w:val="000000"/>
          <w:spacing w:val="0"/>
          <w:w w:val="100"/>
          <w:position w:val="0"/>
          <w:lang w:val="en-US" w:eastAsia="en-US" w:bidi="en-US"/>
        </w:rPr>
        <w:t>g</w:t>
      </w:r>
      <w:r>
        <w:rPr>
          <w:color w:val="000000"/>
          <w:spacing w:val="0"/>
          <w:w w:val="100"/>
          <w:position w:val="0"/>
        </w:rPr>
        <w:t>19043房</w:t>
      </w:r>
    </w:p>
    <w:p>
      <w:pPr>
        <w:pStyle w:val="Style2"/>
        <w:keepNext w:val="0"/>
        <w:keepLines w:val="0"/>
        <w:framePr w:w="5990" w:h="4457" w:wrap="none" w:hAnchor="page" w:x="3364" w:y="5084"/>
        <w:widowControl w:val="0"/>
        <w:shd w:val="clear" w:color="auto" w:fill="auto"/>
        <w:bidi w:val="0"/>
        <w:spacing w:before="0" w:after="120" w:line="23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曾慧</w:t>
      </w:r>
    </w:p>
    <w:p>
      <w:pPr>
        <w:pStyle w:val="Style2"/>
        <w:keepNext w:val="0"/>
        <w:keepLines w:val="0"/>
        <w:framePr w:w="5990" w:h="4457" w:wrap="none" w:hAnchor="page" w:x="3364" w:y="5084"/>
        <w:widowControl w:val="0"/>
        <w:shd w:val="clear" w:color="auto" w:fill="auto"/>
        <w:bidi w:val="0"/>
        <w:spacing w:before="0" w:after="180" w:line="23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壹佰万元整</w:t>
      </w:r>
    </w:p>
    <w:p>
      <w:pPr>
        <w:pStyle w:val="Style2"/>
        <w:keepNext w:val="0"/>
        <w:keepLines w:val="0"/>
        <w:framePr w:w="5990" w:h="4457" w:wrap="none" w:hAnchor="page" w:x="3364" w:y="5084"/>
        <w:widowControl w:val="0"/>
        <w:shd w:val="clear" w:color="auto" w:fill="auto"/>
        <w:bidi w:val="0"/>
        <w:spacing w:before="0" w:after="180" w:line="23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2005年03月29日</w:t>
      </w:r>
    </w:p>
    <w:p>
      <w:pPr>
        <w:pStyle w:val="Style2"/>
        <w:keepNext w:val="0"/>
        <w:keepLines w:val="0"/>
        <w:framePr w:w="5990" w:h="4457" w:wrap="none" w:hAnchor="page" w:x="3364" w:y="5084"/>
        <w:widowControl w:val="0"/>
        <w:shd w:val="clear" w:color="auto" w:fill="auto"/>
        <w:bidi w:val="0"/>
        <w:spacing w:before="0" w:after="180" w:line="23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2005年03月29日 至2025年03月28日</w:t>
      </w:r>
    </w:p>
    <w:p>
      <w:pPr>
        <w:pStyle w:val="Style2"/>
        <w:keepNext w:val="0"/>
        <w:keepLines w:val="0"/>
        <w:framePr w:w="5990" w:h="4457" w:wrap="none" w:hAnchor="page" w:x="3364" w:y="5084"/>
        <w:widowControl w:val="0"/>
        <w:shd w:val="clear" w:color="auto" w:fill="auto"/>
        <w:bidi w:val="0"/>
        <w:spacing w:before="0" w:after="180" w:line="233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企业会计报表审计、企业资本验证、企业合并、分立、清算 事宜审计、会计咨询、会计服务等法律法规规定的业务；会 计帳掰及软硬件的销售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e </w:t>
      </w:r>
      <w:r>
        <w:rPr>
          <w:color w:val="000000"/>
          <w:spacing w:val="0"/>
          <w:w w:val="100"/>
          <w:position w:val="0"/>
        </w:rPr>
        <w:t>（依法须经批准的项目，经相关部 门批准后方可开展经营活动）</w:t>
      </w:r>
    </w:p>
    <w:p>
      <w:pPr>
        <w:pStyle w:val="Style12"/>
        <w:keepNext/>
        <w:keepLines/>
        <w:framePr w:w="9425" w:h="2606" w:wrap="none" w:hAnchor="page" w:x="758" w:y="11823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sz w:val="38"/>
          <w:szCs w:val="38"/>
        </w:rPr>
      </w:pPr>
      <w:bookmarkStart w:id="80" w:name="bookmark80"/>
      <w:bookmarkStart w:id="81" w:name="bookmark81"/>
      <w:bookmarkStart w:id="82" w:name="bookmark82"/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38"/>
          <w:szCs w:val="38"/>
          <w:lang w:val="en-US" w:eastAsia="en-US" w:bidi="en-US"/>
        </w:rPr>
        <w:t>IS）</w:t>
      </w:r>
      <w:bookmarkEnd w:id="80"/>
      <w:bookmarkEnd w:id="81"/>
      <w:bookmarkEnd w:id="82"/>
    </w:p>
    <w:p>
      <w:pPr>
        <w:pStyle w:val="Style32"/>
        <w:keepNext w:val="0"/>
        <w:keepLines w:val="0"/>
        <w:framePr w:w="9425" w:h="2606" w:wrap="none" w:hAnchor="page" w:x="758" w:y="11823"/>
        <w:widowControl w:val="0"/>
        <w:shd w:val="clear" w:color="auto" w:fill="auto"/>
        <w:bidi w:val="0"/>
        <w:spacing w:before="0" w:after="0" w:line="24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"、邙</w:t>
      </w:r>
      <w:r>
        <w:rPr>
          <w:color w:val="000000"/>
          <w:spacing w:val="0"/>
          <w:w w:val="100"/>
          <w:position w:val="0"/>
        </w:rPr>
        <w:t>1、每日齐1</w:t>
      </w:r>
      <w:r>
        <w:rPr>
          <w:color w:val="000000"/>
          <w:spacing w:val="0"/>
          <w:w w:val="100"/>
          <w:position w:val="0"/>
          <w:lang w:val="zh-CN" w:eastAsia="zh-CN" w:bidi="zh-CN"/>
        </w:rPr>
        <w:t>目至</w:t>
      </w:r>
      <w:r>
        <w:rPr>
          <w:color w:val="000000"/>
          <w:spacing w:val="0"/>
          <w:w w:val="100"/>
          <w:position w:val="0"/>
        </w:rPr>
        <w:t>6月釦日週过企业信闸信息公示</w:t>
      </w:r>
    </w:p>
    <w:p>
      <w:pPr>
        <w:pStyle w:val="Style32"/>
        <w:keepNext w:val="0"/>
        <w:keepLines w:val="0"/>
        <w:framePr w:w="9425" w:h="2606" w:wrap="none" w:hAnchor="page" w:x="758" w:y="11823"/>
        <w:widowControl w:val="0"/>
        <w:shd w:val="clear" w:color="auto" w:fill="auto"/>
        <w:bidi w:val="0"/>
        <w:spacing w:before="0" w:after="0" w:line="245" w:lineRule="exact"/>
        <w:ind w:left="1140" w:right="0" w:hanging="114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[Sil</w:t>
      </w:r>
      <w:r>
        <w:rPr>
          <w:color w:val="000000"/>
          <w:spacing w:val="0"/>
          <w:w w:val="100"/>
          <w:position w:val="0"/>
        </w:rPr>
        <w:t>系绕报送普公示上一年度年崖投告，不另行透知； 渦息公示暂荷条例》第十条规定的全业</w:t>
      </w:r>
    </w:p>
    <w:p>
      <w:pPr>
        <w:pStyle w:val="Style32"/>
        <w:keepNext w:val="0"/>
        <w:keepLines w:val="0"/>
        <w:framePr w:w="9425" w:h="2606" w:wrap="none" w:hAnchor="page" w:x="758" w:y="11823"/>
        <w:widowControl w:val="0"/>
        <w:shd w:val="clear" w:color="auto" w:fill="auto"/>
        <w:tabs>
          <w:tab w:pos="4032" w:val="left"/>
          <w:tab w:pos="4601" w:val="left"/>
        </w:tabs>
        <w:bidi w:val="0"/>
        <w:spacing w:before="0" w:after="40" w:line="24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£三 養关信窟商暧活叫个£控日内需間</w:t>
      </w:r>
      <w:r>
        <w:rPr>
          <w:color w:val="000000"/>
          <w:spacing w:val="0"/>
          <w:w w:val="100"/>
          <w:position w:val="0"/>
          <w:lang w:val="zh-CN" w:eastAsia="zh-CN" w:bidi="zh-CN"/>
        </w:rPr>
        <w:t>注会公</w:t>
      </w:r>
      <w:r>
        <w:rPr>
          <w:i/>
          <w:iCs/>
          <w:color w:val="000000"/>
          <w:spacing w:val="0"/>
          <w:w w:val="100"/>
          <w:position w:val="0"/>
        </w:rPr>
        <w:t>示。</w:t>
        <w:tab/>
      </w:r>
      <w:r>
        <w:rPr>
          <w:i/>
          <w:iCs/>
          <w:u w:val="single"/>
        </w:rPr>
        <w:t xml:space="preserve"> </w:t>
        <w:tab/>
      </w:r>
    </w:p>
    <w:p>
      <w:pPr>
        <w:pStyle w:val="Style32"/>
        <w:keepNext w:val="0"/>
        <w:keepLines w:val="0"/>
        <w:framePr w:w="9425" w:h="2606" w:wrap="none" w:hAnchor="page" w:x="758" w:y="11823"/>
        <w:widowControl w:val="0"/>
        <w:shd w:val="clear" w:color="auto" w:fill="auto"/>
        <w:tabs>
          <w:tab w:pos="7186" w:val="left"/>
        </w:tabs>
        <w:bidi w:val="0"/>
        <w:spacing w:before="0" w:after="0" w:line="240" w:lineRule="auto"/>
        <w:ind w:left="0" w:right="0" w:firstLine="0"/>
        <w:jc w:val="left"/>
        <w:rPr>
          <w:sz w:val="52"/>
          <w:szCs w:val="52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 xml:space="preserve">- </w:t>
      </w:r>
      <w:r>
        <w:rPr>
          <w:color w:val="000000"/>
          <w:spacing w:val="0"/>
          <w:w w:val="100"/>
          <w:position w:val="0"/>
          <w:sz w:val="17"/>
          <w:szCs w:val="17"/>
          <w:lang w:val="zh-CN" w:eastAsia="zh-CN" w:bidi="zh-CN"/>
        </w:rPr>
        <w:t>'一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52"/>
          <w:szCs w:val="52"/>
        </w:rPr>
        <w:t xml:space="preserve">~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52"/>
          <w:szCs w:val="52"/>
          <w:lang w:val="en-US" w:eastAsia="en-US" w:bidi="en-US"/>
        </w:rPr>
        <w:t>W</w:t>
      </w:r>
    </w:p>
    <w:p>
      <w:pPr>
        <w:pStyle w:val="Style32"/>
        <w:keepNext w:val="0"/>
        <w:keepLines w:val="0"/>
        <w:framePr w:w="9425" w:h="2606" w:wrap="none" w:hAnchor="page" w:x="758" w:y="11823"/>
        <w:widowControl w:val="0"/>
        <w:shd w:val="clear" w:color="auto" w:fill="auto"/>
        <w:tabs>
          <w:tab w:pos="6149" w:val="left"/>
        </w:tabs>
        <w:bidi w:val="0"/>
        <w:spacing w:before="0" w:after="40" w:line="24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企愛信用落息竺尽紊凌備玲：</w:t>
        <w:tab/>
        <w:t>山等人民其和膚闺家工袤育政营理边</w:t>
      </w:r>
    </w:p>
    <w:p>
      <w:pPr>
        <w:pStyle w:val="Style2"/>
        <w:keepNext w:val="0"/>
        <w:keepLines w:val="0"/>
        <w:framePr w:w="1649" w:h="338" w:wrap="none" w:hAnchor="page" w:x="5481" w:y="12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登记机关</w:t>
      </w:r>
    </w:p>
    <w:p>
      <w:pPr>
        <w:pStyle w:val="Style2"/>
        <w:keepNext w:val="0"/>
        <w:keepLines w:val="0"/>
        <w:framePr w:w="2916" w:h="504" w:wrap="none" w:hAnchor="page" w:x="7000" w:y="128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lang w:val="en-US" w:eastAsia="en-US" w:bidi="en-US"/>
        </w:rPr>
        <w:t>H</w:t>
      </w:r>
      <w:r>
        <w:rPr>
          <w:color w:val="000000"/>
          <w:spacing w:val="0"/>
          <w:w w:val="100"/>
          <w:position w:val="0"/>
        </w:rPr>
        <w:t>月芸矿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1892935</wp:posOffset>
            </wp:positionH>
            <wp:positionV relativeFrom="margin">
              <wp:posOffset>1710055</wp:posOffset>
            </wp:positionV>
            <wp:extent cx="670560" cy="780415"/>
            <wp:wrapNone/>
            <wp:docPr id="44" name="Shape 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box 45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670560" cy="7804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4234180</wp:posOffset>
            </wp:positionH>
            <wp:positionV relativeFrom="margin">
              <wp:posOffset>3429000</wp:posOffset>
            </wp:positionV>
            <wp:extent cx="1517650" cy="1170305"/>
            <wp:wrapNone/>
            <wp:docPr id="46" name="Shape 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box 47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1517650" cy="1170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589915</wp:posOffset>
            </wp:positionH>
            <wp:positionV relativeFrom="margin">
              <wp:posOffset>6766560</wp:posOffset>
            </wp:positionV>
            <wp:extent cx="1511935" cy="1017905"/>
            <wp:wrapNone/>
            <wp:docPr id="48" name="Shap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box 49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1511935" cy="10179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  <w:sectPr>
          <w:headerReference w:type="default" r:id="rId43"/>
          <w:footerReference w:type="default" r:id="rId44"/>
          <w:footnotePr>
            <w:pos w:val="pageBottom"/>
            <w:numFmt w:val="decimal"/>
            <w:numRestart w:val="continuous"/>
          </w:footnotePr>
          <w:pgSz w:w="11900" w:h="16840"/>
          <w:pgMar w:top="1519" w:right="1719" w:bottom="347" w:left="757" w:header="1091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1790700</wp:posOffset>
            </wp:positionH>
            <wp:positionV relativeFrom="margin">
              <wp:posOffset>658495</wp:posOffset>
            </wp:positionV>
            <wp:extent cx="1402080" cy="1408430"/>
            <wp:wrapNone/>
            <wp:docPr id="52" name="Shape 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box 53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1402080" cy="14084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2" behindDoc="1" locked="0" layoutInCell="1" allowOverlap="1">
            <wp:simplePos x="0" y="0"/>
            <wp:positionH relativeFrom="page">
              <wp:posOffset>4236720</wp:posOffset>
            </wp:positionH>
            <wp:positionV relativeFrom="margin">
              <wp:posOffset>0</wp:posOffset>
            </wp:positionV>
            <wp:extent cx="1639570" cy="2060575"/>
            <wp:wrapNone/>
            <wp:docPr id="54" name="Shape 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box 55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1639570" cy="2060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4502150</wp:posOffset>
            </wp:positionH>
            <wp:positionV relativeFrom="margin">
              <wp:posOffset>2180590</wp:posOffset>
            </wp:positionV>
            <wp:extent cx="1195070" cy="890270"/>
            <wp:wrapNone/>
            <wp:docPr id="56" name="Shape 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box 57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1195070" cy="8902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0" w:line="1" w:lineRule="exact"/>
      </w:pPr>
    </w:p>
    <w:p>
      <w:pPr>
        <w:widowControl w:val="0"/>
        <w:spacing w:line="1" w:lineRule="exact"/>
        <w:sectPr>
          <w:headerReference w:type="default" r:id="rId51"/>
          <w:footerReference w:type="default" r:id="rId52"/>
          <w:footnotePr>
            <w:pos w:val="pageBottom"/>
            <w:numFmt w:val="decimal"/>
            <w:numRestart w:val="continuous"/>
          </w:footnotePr>
          <w:pgSz w:w="11900" w:h="16840"/>
          <w:pgMar w:top="3253" w:right="1938" w:bottom="2991" w:left="2230" w:header="2825" w:footer="256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253" w:right="0" w:bottom="299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3" w:name="bookmark83"/>
      <w:bookmarkStart w:id="84" w:name="bookmark84"/>
      <w:bookmarkStart w:id="85" w:name="bookmark85"/>
      <w:r>
        <w:rPr>
          <w:color w:val="000000"/>
          <w:spacing w:val="0"/>
          <w:w w:val="100"/>
          <w:position w:val="0"/>
        </w:rPr>
        <w:t>年度检验聲记</w:t>
      </w:r>
      <w:bookmarkEnd w:id="83"/>
      <w:bookmarkEnd w:id="84"/>
      <w:bookmarkEnd w:id="85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380" w:line="18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Annual Renetvsi Registration .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18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本该书绶絵</w:t>
      </w:r>
      <w:r>
        <w:rPr>
          <w:color w:val="000000"/>
          <w:spacing w:val="0"/>
          <w:w w:val="100"/>
          <w:position w:val="0"/>
          <w:lang w:val="zh-CN" w:eastAsia="zh-CN" w:bidi="zh-CN"/>
        </w:rPr>
        <w:t>境.</w:t>
      </w:r>
      <w:r>
        <w:rPr>
          <w:color w:val="000000"/>
          <w:spacing w:val="0"/>
          <w:w w:val="100"/>
          <w:position w:val="0"/>
        </w:rPr>
        <w:t>令格，继软有效一弔.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200" w:line="18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This </w:t>
      </w:r>
      <w:r>
        <w:rPr>
          <w:i/>
          <w:iCs/>
          <w:color w:val="000000"/>
          <w:spacing w:val="0"/>
          <w:w w:val="100"/>
          <w:position w:val="0"/>
          <w:lang w:val="en-US" w:eastAsia="en-US" w:bidi="en-US"/>
        </w:rPr>
        <w:t>certificate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 is valid for another year a fur this renewal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3253" w:right="1937" w:bottom="2991" w:left="6686" w:header="0" w:footer="3" w:gutter="0"/>
          <w:cols w:space="720"/>
          <w:noEndnote/>
          <w:rtlGutter w:val="0"/>
          <w:docGrid w:linePitch="360"/>
        </w:sectPr>
      </w:pPr>
      <w:r>
        <w:drawing>
          <wp:anchor distT="749300" distB="0" distL="0" distR="0" simplePos="0" relativeHeight="125829388" behindDoc="0" locked="0" layoutInCell="1" allowOverlap="1">
            <wp:simplePos x="0" y="0"/>
            <wp:positionH relativeFrom="page">
              <wp:posOffset>1416050</wp:posOffset>
            </wp:positionH>
            <wp:positionV relativeFrom="paragraph">
              <wp:posOffset>749300</wp:posOffset>
            </wp:positionV>
            <wp:extent cx="4895215" cy="1005840"/>
            <wp:wrapTopAndBottom/>
            <wp:docPr id="58" name="Shape 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4895215" cy="10058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  <w:r>
        <w:drawing>
          <wp:anchor distT="0" distB="0" distL="0" distR="0" simplePos="0" relativeHeight="125829389" behindDoc="0" locked="0" layoutInCell="1" allowOverlap="1">
            <wp:simplePos x="0" y="0"/>
            <wp:positionH relativeFrom="page">
              <wp:posOffset>1176020</wp:posOffset>
            </wp:positionH>
            <wp:positionV relativeFrom="paragraph">
              <wp:posOffset>3067685</wp:posOffset>
            </wp:positionV>
            <wp:extent cx="213360" cy="316865"/>
            <wp:wrapSquare wrapText="bothSides"/>
            <wp:docPr id="60" name="Shape 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213360" cy="316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334010" distR="0" simplePos="0" relativeHeight="125829390" behindDoc="0" locked="0" layoutInCell="1" allowOverlap="1">
            <wp:simplePos x="0" y="0"/>
            <wp:positionH relativeFrom="page">
              <wp:posOffset>1798320</wp:posOffset>
            </wp:positionH>
            <wp:positionV relativeFrom="paragraph">
              <wp:posOffset>12700</wp:posOffset>
            </wp:positionV>
            <wp:extent cx="4504690" cy="6468110"/>
            <wp:wrapTopAndBottom/>
            <wp:docPr id="62" name="Shape 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4504690" cy="64681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1464310</wp:posOffset>
                </wp:positionH>
                <wp:positionV relativeFrom="paragraph">
                  <wp:posOffset>3615690</wp:posOffset>
                </wp:positionV>
                <wp:extent cx="2103120" cy="237490"/>
                <wp:wrapNone/>
                <wp:docPr id="64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0312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58" w:lineRule="exact"/>
                              <w:ind w:left="0" w:right="0" w:firstLine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注鷺竟计铮工铃攀後燮建蔘頌登诺 岌知函福心忒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en-US" w:eastAsia="en-US" w:bidi="en-US"/>
                              </w:rPr>
                              <w:t xml:space="preserve">Wfes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(!杰.藉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en-US" w:eastAsia="en-US" w:bidi="en-US"/>
                              </w:rPr>
                              <w:t>b M Wg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訪饗 悬益蒲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en-US" w:eastAsia="en-US" w:bidi="en-US"/>
                              </w:rPr>
                              <w:t>^CFA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margin-left:115.3pt;margin-top:284.69999999999999pt;width:165.59999999999999pt;height:18.699999999999999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58" w:lineRule="exact"/>
                        <w:ind w:left="0" w:right="0" w:firstLine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注鷺竟计铮工铃攀後燮建蔘頌登诺 岌知函福心忒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en-US" w:eastAsia="en-US" w:bidi="en-US"/>
                        </w:rPr>
                        <w:t xml:space="preserve">Wfes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(!杰.藉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en-US" w:eastAsia="en-US" w:bidi="en-US"/>
                        </w:rPr>
                        <w:t>b M Wg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訪饗 悬益蒲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en-US" w:eastAsia="en-US" w:bidi="en-US"/>
                        </w:rPr>
                        <w:t>^CFA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1464310</wp:posOffset>
                </wp:positionH>
                <wp:positionV relativeFrom="paragraph">
                  <wp:posOffset>3971925</wp:posOffset>
                </wp:positionV>
                <wp:extent cx="2103120" cy="168910"/>
                <wp:wrapNone/>
                <wp:docPr id="66" name="Shape 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03120" cy="168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7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恐寿谟囱</w:t>
                              <w:tab/>
                              <w:t>^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zh-CN" w:eastAsia="zh-CN" w:bidi="zh-CN"/>
                              </w:rPr>
                              <w:t>却&amp;争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辭X初由5^斑费陽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margin-left:115.3pt;margin-top:312.75pt;width:165.59999999999999pt;height:13.300000000000001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7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恐寿谟囱</w:t>
                        <w:tab/>
                        <w:t>^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zh-CN" w:eastAsia="zh-CN" w:bidi="zh-CN"/>
                        </w:rPr>
                        <w:t>却&amp;争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辭X初由5^斑费陽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1464310</wp:posOffset>
                </wp:positionH>
                <wp:positionV relativeFrom="paragraph">
                  <wp:posOffset>5526405</wp:posOffset>
                </wp:positionV>
                <wp:extent cx="2103120" cy="475615"/>
                <wp:wrapNone/>
                <wp:docPr id="68" name="Shape 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03120" cy="475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exact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礴癱点抄腌"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en-US" w:eastAsia="en-US" w:bidi="en-US"/>
                              </w:rPr>
                              <w:t xml:space="preserve">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.碱方 「5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margin-left:115.3pt;margin-top:435.15000000000003pt;width:165.59999999999999pt;height:37.450000000000003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exact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礴癱点抄腌"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en-US" w:eastAsia="en-US" w:bidi="en-US"/>
                        </w:rPr>
                        <w:t xml:space="preserve">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.碱方 「5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1464310</wp:posOffset>
                </wp:positionH>
                <wp:positionV relativeFrom="paragraph">
                  <wp:posOffset>6079490</wp:posOffset>
                </wp:positionV>
                <wp:extent cx="2103120" cy="82550"/>
                <wp:wrapNone/>
                <wp:docPr id="70" name="Shape 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03120" cy="82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exact"/>
                              <w:ind w:left="210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 xml:space="preserve">违'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羹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冬葢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en-US" w:eastAsia="en-US" w:bidi="en-US"/>
                              </w:rPr>
                              <w:t>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6" type="#_x0000_t202" style="position:absolute;margin-left:115.3pt;margin-top:478.69999999999999pt;width:165.59999999999999pt;height:6.5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exact"/>
                        <w:ind w:left="210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 xml:space="preserve">违'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羹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冬葢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en-US" w:eastAsia="en-US" w:bidi="en-US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1464310</wp:posOffset>
                </wp:positionH>
                <wp:positionV relativeFrom="paragraph">
                  <wp:posOffset>6290310</wp:posOffset>
                </wp:positionV>
                <wp:extent cx="2103120" cy="168910"/>
                <wp:wrapNone/>
                <wp:docPr id="72" name="Shape 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03120" cy="168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509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lang w:val="en-US" w:eastAsia="en-US" w:bidi="en-US"/>
                              </w:rPr>
                              <w:t>3-^t£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 xml:space="preserve">溪詩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en-US" w:eastAsia="en-US" w:bidi="en-US"/>
                              </w:rPr>
                              <w:t>m g w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8" type="#_x0000_t202" style="position:absolute;margin-left:115.3pt;margin-top:495.30000000000001pt;width:165.59999999999999pt;height:13.300000000000001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509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8"/>
                          <w:szCs w:val="8"/>
                          <w:lang w:val="en-US" w:eastAsia="en-US" w:bidi="en-US"/>
                        </w:rPr>
                        <w:t>3-^t£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 xml:space="preserve">溪詩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en-US" w:eastAsia="en-US" w:bidi="en-US"/>
                        </w:rPr>
                        <w:t>m g 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此跪材源务岡務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*«</w:t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pos="2203" w:val="left"/>
        </w:tabs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...</w:t>
        <w:tab/>
      </w:r>
      <w:r>
        <w:rPr>
          <w:color w:val="000000"/>
          <w:spacing w:val="0"/>
          <w:w w:val="100"/>
          <w:position w:val="0"/>
        </w:rPr>
        <w:t>、'〉，</w:t>
      </w:r>
      <w:r>
        <w:rPr>
          <w:color w:val="000000"/>
          <w:spacing w:val="0"/>
          <w:w w:val="100"/>
          <w:position w:val="0"/>
          <w:lang w:val="en-US" w:eastAsia="en-US" w:bidi="en-US"/>
        </w:rPr>
        <w:t>f J</w:t>
      </w:r>
    </w:p>
    <w:p>
      <w:pPr>
        <w:pStyle w:val="Style59"/>
        <w:keepNext w:val="0"/>
        <w:keepLines w:val="0"/>
        <w:widowControl w:val="0"/>
        <w:shd w:val="clear" w:color="auto" w:fill="auto"/>
        <w:tabs>
          <w:tab w:pos="1411" w:val="left"/>
        </w:tabs>
        <w:bidi w:val="0"/>
        <w:spacing w:before="0" w:after="0" w:line="101" w:lineRule="exact"/>
        <w:ind w:left="0" w:right="0" w:firstLine="0"/>
        <w:jc w:val="center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lang w:val="en-US" w:eastAsia="en-US" w:bidi="en-US"/>
        </w:rPr>
        <w:t>"L ,* w . •..</w:t>
        <w:br/>
        <w:t xml:space="preserve">f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■■-</w:t>
      </w:r>
      <w:r>
        <w:rPr>
          <w:color w:val="000000"/>
          <w:spacing w:val="0"/>
          <w:w w:val="100"/>
          <w:position w:val="0"/>
        </w:rPr>
        <w:t>..</w:t>
      </w:r>
      <w:r>
        <w:rPr>
          <w:color w:val="000000"/>
          <w:spacing w:val="0"/>
          <w:w w:val="100"/>
          <w:position w:val="0"/>
          <w:vertAlign w:val="superscript"/>
        </w:rPr>
        <w:t>；:</w:t>
      </w:r>
      <w:r>
        <w:rPr>
          <w:color w:val="000000"/>
          <w:spacing w:val="0"/>
          <w:w w:val="100"/>
          <w:position w:val="0"/>
        </w:rPr>
        <w:tab/>
        <w:t>,上</w:t>
      </w:r>
    </w:p>
    <w:p>
      <w:pPr>
        <w:pStyle w:val="Style59"/>
        <w:keepNext w:val="0"/>
        <w:keepLines w:val="0"/>
        <w:widowControl w:val="0"/>
        <w:shd w:val="clear" w:color="auto" w:fill="auto"/>
        <w:bidi w:val="0"/>
        <w:spacing w:before="0" w:after="0"/>
        <w:ind w:left="1200" w:right="0" w:firstLine="0"/>
        <w:jc w:val="right"/>
      </w:pP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「虏蕉</w:t>
      </w:r>
      <w:r>
        <w:rPr>
          <w:color w:val="000000"/>
          <w:spacing w:val="0"/>
          <w:w w:val="100"/>
          <w:position w:val="0"/>
        </w:rPr>
        <w:t>#章攵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* </w:t>
      </w:r>
      <w:r>
        <w:rPr>
          <w:color w:val="000000"/>
          <w:spacing w:val="0"/>
          <w:w w:val="100"/>
          <w:position w:val="0"/>
          <w:lang w:val="zh-CN" w:eastAsia="zh-CN" w:bidi="zh-CN"/>
        </w:rPr>
        <w:t>:</w:t>
      </w:r>
      <w:r>
        <w:rPr>
          <w:color w:val="000000"/>
          <w:spacing w:val="0"/>
          <w:w w:val="100"/>
          <w:position w:val="0"/>
        </w:rPr>
        <w:t>急痪參遂以芸我哇淀虱滨企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MJ </w:t>
      </w:r>
      <w:r>
        <w:rPr>
          <w:color w:val="000000"/>
          <w:spacing w:val="0"/>
          <w:w w:val="100"/>
          <w:position w:val="0"/>
        </w:rPr>
        <w:t>、事叫亨争寧壽名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</w:rPr>
        <w:t>ffi</w:t>
      </w:r>
    </w:p>
    <w:p>
      <w:pPr>
        <w:pStyle w:val="Style59"/>
        <w:keepNext w:val="0"/>
        <w:keepLines w:val="0"/>
        <w:widowControl w:val="0"/>
        <w:shd w:val="clear" w:color="auto" w:fill="auto"/>
        <w:tabs>
          <w:tab w:pos="1980" w:val="left"/>
        </w:tabs>
        <w:bidi w:val="0"/>
        <w:spacing w:before="0" w:after="0" w:line="245" w:lineRule="exact"/>
        <w:ind w:left="0" w:right="0" w:firstLine="1660"/>
        <w:jc w:val="left"/>
      </w:pPr>
      <w:r>
        <w:rPr>
          <w:color w:val="000000"/>
          <w:spacing w:val="0"/>
          <w:w w:val="100"/>
          <w:position w:val="0"/>
        </w:rPr>
        <w:t xml:space="preserve">"普 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点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y </w:t>
      </w:r>
      <w:r>
        <w:rPr>
          <w:color w:val="000000"/>
          <w:spacing w:val="0"/>
          <w:w w:val="100"/>
          <w:position w:val="0"/>
        </w:rPr>
        <w:t xml:space="preserve">廿 窍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t </w:t>
      </w:r>
      <w:r>
        <w:rPr>
          <w:color w:val="000000"/>
          <w:spacing w:val="0"/>
          <w:w w:val="100"/>
          <w:position w:val="0"/>
        </w:rPr>
        <w:t xml:space="preserve">« </w:t>
      </w:r>
      <w:r>
        <w:rPr>
          <w:color w:val="000000"/>
          <w:spacing w:val="0"/>
          <w:w w:val="100"/>
          <w:position w:val="0"/>
          <w:lang w:val="en-US" w:eastAsia="en-US" w:bidi="en-US"/>
        </w:rPr>
        <w:t>A.</w:t>
        <w:tab/>
      </w:r>
      <w:r>
        <w:rPr>
          <w:color w:val="000000"/>
          <w:spacing w:val="0"/>
          <w:w w:val="100"/>
          <w:position w:val="0"/>
        </w:rPr>
        <w:t>^</w:t>
      </w:r>
    </w:p>
    <w:p>
      <w:pPr>
        <w:pStyle w:val="Style59"/>
        <w:keepNext w:val="0"/>
        <w:keepLines w:val="0"/>
        <w:widowControl w:val="0"/>
        <w:shd w:val="clear" w:color="auto" w:fill="auto"/>
        <w:tabs>
          <w:tab w:pos="1411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3883" w:right="6283" w:bottom="2576" w:left="2306" w:header="3455" w:footer="2148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衰仲 瞞 &amp;蹬^拓#</w:t>
        <w:tab/>
        <w:t>汩</w:t>
      </w:r>
      <w:r>
        <w:fldChar w:fldCharType="end"/>
      </w:r>
    </w:p>
    <w:p>
      <w:pPr>
        <w:pStyle w:val="Style32"/>
        <w:keepNext w:val="0"/>
        <w:keepLines w:val="0"/>
        <w:framePr w:w="2441" w:h="230" w:wrap="none" w:hAnchor="page" w:x="4525" w:y="18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湖梅博盛会计师糖务所有限公诩</w:t>
      </w:r>
    </w:p>
    <w:p>
      <w:pPr>
        <w:pStyle w:val="Style32"/>
        <w:keepNext w:val="0"/>
        <w:keepLines w:val="0"/>
        <w:framePr w:w="1390" w:h="252" w:wrap="none" w:hAnchor="page" w:x="2890" w:y="26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主任会计师:</w:t>
      </w:r>
    </w:p>
    <w:p>
      <w:pPr>
        <w:pStyle w:val="Style32"/>
        <w:keepNext w:val="0"/>
        <w:keepLines w:val="0"/>
        <w:framePr w:w="1375" w:h="252" w:wrap="none" w:hAnchor="page" w:x="2883" w:y="31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办公场所;</w:t>
      </w:r>
    </w:p>
    <w:p>
      <w:pPr>
        <w:pStyle w:val="Style32"/>
        <w:keepNext w:val="0"/>
        <w:keepLines w:val="0"/>
        <w:framePr w:w="1382" w:h="252" w:wrap="none" w:hAnchor="page" w:x="2890" w:y="39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引织形式:</w:t>
      </w:r>
    </w:p>
    <w:p>
      <w:pPr>
        <w:pStyle w:val="Style32"/>
        <w:keepNext w:val="0"/>
        <w:keepLines w:val="0"/>
        <w:framePr w:w="1390" w:h="266" w:wrap="none" w:hAnchor="page" w:x="2883" w:y="44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会计师事务所编号:</w:t>
      </w:r>
    </w:p>
    <w:p>
      <w:pPr>
        <w:pStyle w:val="Style38"/>
        <w:keepNext w:val="0"/>
        <w:keepLines w:val="0"/>
        <w:framePr w:w="734" w:h="245" w:wrap="none" w:hAnchor="page" w:x="4525" w:y="44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43010039</w:t>
      </w:r>
    </w:p>
    <w:p>
      <w:pPr>
        <w:pStyle w:val="Style32"/>
        <w:keepNext w:val="0"/>
        <w:keepLines w:val="0"/>
        <w:framePr w:w="1368" w:h="266" w:wrap="none" w:hAnchor="page" w:x="2890" w:y="48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注册说枳出资额）;</w:t>
      </w:r>
    </w:p>
    <w:p>
      <w:pPr>
        <w:pStyle w:val="Style32"/>
        <w:keepNext w:val="0"/>
        <w:keepLines w:val="0"/>
        <w:framePr w:w="662" w:h="245" w:wrap="none" w:hAnchor="page" w:x="4539" w:y="48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10</w:t>
      </w:r>
      <w:r>
        <w:rPr>
          <w:color w:val="000000"/>
          <w:spacing w:val="0"/>
          <w:w w:val="100"/>
          <w:position w:val="0"/>
        </w:rPr>
        <w:t>防元</w:t>
      </w:r>
    </w:p>
    <w:p>
      <w:pPr>
        <w:pStyle w:val="Style4"/>
        <w:keepNext w:val="0"/>
        <w:keepLines w:val="0"/>
        <w:framePr w:w="252" w:h="216" w:wrap="none" w:hAnchor="page" w:x="6304" w:y="3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i/>
          <w:i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a.</w:t>
      </w:r>
    </w:p>
    <w:p>
      <w:pPr>
        <w:pStyle w:val="Style4"/>
        <w:keepNext w:val="0"/>
        <w:keepLines w:val="0"/>
        <w:framePr w:w="2081" w:h="266" w:wrap="none" w:hAnchor="page" w:x="4525" w:y="30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长沙市蔵盘路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3</w:t>
      </w:r>
      <w:r>
        <w:rPr>
          <w:color w:val="000000"/>
          <w:spacing w:val="0"/>
          <w:w w:val="100"/>
          <w:position w:val="0"/>
          <w:sz w:val="17"/>
          <w:szCs w:val="17"/>
        </w:rPr>
        <w:t>損号馨嬢爛</w:t>
      </w:r>
    </w:p>
    <w:p>
      <w:pPr>
        <w:pStyle w:val="Style32"/>
        <w:keepNext w:val="0"/>
        <w:keepLines w:val="0"/>
        <w:framePr w:w="1433" w:h="259" w:wrap="none" w:hAnchor="page" w:x="2840" w:y="5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批准设立文号:</w:t>
      </w:r>
    </w:p>
    <w:p>
      <w:pPr>
        <w:pStyle w:val="Style32"/>
        <w:keepNext w:val="0"/>
        <w:keepLines w:val="0"/>
        <w:framePr w:w="1678" w:h="266" w:wrap="none" w:hAnchor="page" w:x="4532" w:y="52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湘财会茵〔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2005</w:t>
      </w:r>
      <w:r>
        <w:rPr>
          <w:color w:val="000000"/>
          <w:spacing w:val="0"/>
          <w:w w:val="100"/>
          <w:position w:val="0"/>
        </w:rPr>
        <w:t>】&amp;号</w:t>
      </w:r>
    </w:p>
    <w:p>
      <w:pPr>
        <w:pStyle w:val="Style32"/>
        <w:keepNext w:val="0"/>
        <w:keepLines w:val="0"/>
        <w:framePr w:w="1447" w:h="266" w:wrap="none" w:hAnchor="page" w:x="2826" w:y="57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批准设立曰期:</w:t>
      </w:r>
    </w:p>
    <w:p>
      <w:pPr>
        <w:pStyle w:val="Style38"/>
        <w:keepNext w:val="0"/>
        <w:keepLines w:val="0"/>
        <w:framePr w:w="907" w:h="245" w:wrap="none" w:hAnchor="page" w:x="4525" w:y="56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2QQ9-OA25</w:t>
      </w:r>
    </w:p>
    <w:p>
      <w:pPr>
        <w:pStyle w:val="Style32"/>
        <w:keepNext w:val="0"/>
        <w:keepLines w:val="0"/>
        <w:framePr w:w="4212" w:h="3110" w:wrap="none" w:hAnchor="page" w:x="9385" w:y="1"/>
        <w:widowControl w:val="0"/>
        <w:numPr>
          <w:ilvl w:val="0"/>
          <w:numId w:val="1"/>
        </w:numPr>
        <w:shd w:val="clear" w:color="auto" w:fill="auto"/>
        <w:tabs>
          <w:tab w:pos="324" w:val="left"/>
        </w:tabs>
        <w:bidi w:val="0"/>
        <w:spacing w:before="0" w:after="340" w:line="338" w:lineRule="exact"/>
        <w:ind w:left="360" w:right="0" w:hanging="360"/>
        <w:jc w:val="left"/>
      </w:pPr>
      <w:bookmarkStart w:id="86" w:name="bookmark86"/>
      <w:bookmarkEnd w:id="86"/>
      <w:r>
        <w:rPr>
          <w:color w:val="000000"/>
          <w:spacing w:val="0"/>
          <w:w w:val="100"/>
          <w:position w:val="0"/>
        </w:rPr>
        <w:t>《会计飾事务所执业证弟》</w:t>
      </w:r>
      <w:r>
        <w:rPr>
          <w:color w:val="000000"/>
          <w:spacing w:val="0"/>
          <w:w w:val="100"/>
          <w:position w:val="0"/>
          <w:lang w:val="zh-CN" w:eastAsia="zh-CN" w:bidi="zh-CN"/>
        </w:rPr>
        <w:t>是证明</w:t>
      </w:r>
      <w:r>
        <w:rPr>
          <w:color w:val="000000"/>
          <w:spacing w:val="0"/>
          <w:w w:val="100"/>
          <w:position w:val="0"/>
        </w:rPr>
        <w:t>持有人经财政 部门依法审批，准予执符注册会计姉法定业务的</w:t>
      </w:r>
    </w:p>
    <w:p>
      <w:pPr>
        <w:pStyle w:val="Style32"/>
        <w:keepNext w:val="0"/>
        <w:keepLines w:val="0"/>
        <w:framePr w:w="4212" w:h="3110" w:wrap="none" w:hAnchor="page" w:x="9385" w:y="1"/>
        <w:widowControl w:val="0"/>
        <w:shd w:val="clear" w:color="auto" w:fill="auto"/>
        <w:tabs>
          <w:tab w:pos="338" w:val="left"/>
        </w:tabs>
        <w:bidi w:val="0"/>
        <w:spacing w:before="0" w:after="0" w:line="360" w:lineRule="exact"/>
        <w:ind w:left="360" w:right="0" w:hanging="360"/>
        <w:jc w:val="left"/>
      </w:pPr>
      <w:bookmarkStart w:id="87" w:name="bookmark8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</w:t>
      </w:r>
      <w:bookmarkEnd w:id="87"/>
      <w:r>
        <w:rPr>
          <w:color w:val="000000"/>
          <w:spacing w:val="0"/>
          <w:w w:val="100"/>
          <w:position w:val="0"/>
        </w:rPr>
        <w:t>、</w:t>
        <w:tab/>
        <w:t>《陰计师事务所执业证书》记載孃项发生变劫的， 应当向财政部门申镭换笈。</w:t>
      </w:r>
    </w:p>
    <w:p>
      <w:pPr>
        <w:pStyle w:val="Style32"/>
        <w:keepNext w:val="0"/>
        <w:keepLines w:val="0"/>
        <w:framePr w:w="4212" w:h="3110" w:wrap="none" w:hAnchor="page" w:x="9385" w:y="1"/>
        <w:widowControl w:val="0"/>
        <w:numPr>
          <w:ilvl w:val="0"/>
          <w:numId w:val="3"/>
        </w:numPr>
        <w:shd w:val="clear" w:color="auto" w:fill="auto"/>
        <w:tabs>
          <w:tab w:pos="346" w:val="left"/>
        </w:tabs>
        <w:bidi w:val="0"/>
        <w:spacing w:before="0" w:after="0" w:line="360" w:lineRule="exact"/>
        <w:ind w:left="0" w:right="0" w:firstLine="0"/>
        <w:jc w:val="left"/>
      </w:pPr>
      <w:bookmarkStart w:id="88" w:name="bookmark88"/>
      <w:bookmarkEnd w:id="88"/>
      <w:r>
        <w:rPr>
          <w:color w:val="000000"/>
          <w:spacing w:val="0"/>
          <w:w w:val="100"/>
          <w:position w:val="0"/>
        </w:rPr>
        <w:t>《礙计师事务所执.业证中》不得伪造、.潦改.出</w:t>
      </w:r>
    </w:p>
    <w:p>
      <w:pPr>
        <w:pStyle w:val="Style32"/>
        <w:keepNext w:val="0"/>
        <w:keepLines w:val="0"/>
        <w:framePr w:w="4212" w:h="3110" w:wrap="none" w:hAnchor="page" w:x="9385" w:y="1"/>
        <w:widowControl w:val="0"/>
        <w:shd w:val="clear" w:color="auto" w:fill="auto"/>
        <w:bidi w:val="0"/>
        <w:spacing w:before="0" w:after="0" w:line="331" w:lineRule="exact"/>
        <w:ind w:left="0" w:right="0" w:firstLine="22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.ffi.</w:t>
      </w:r>
      <w:r>
        <w:rPr>
          <w:color w:val="000000"/>
          <w:spacing w:val="0"/>
          <w:w w:val="100"/>
          <w:position w:val="0"/>
        </w:rPr>
        <w:t>出借、</w:t>
      </w:r>
      <w:r>
        <w:rPr>
          <w:i/>
          <w:iCs/>
          <w:color w:val="000000"/>
          <w:spacing w:val="0"/>
          <w:w w:val="100"/>
          <w:position w:val="0"/>
        </w:rPr>
        <w:t>转让。</w:t>
      </w:r>
    </w:p>
    <w:p>
      <w:pPr>
        <w:pStyle w:val="Style32"/>
        <w:keepNext w:val="0"/>
        <w:keepLines w:val="0"/>
        <w:framePr w:w="4212" w:h="3110" w:wrap="none" w:hAnchor="page" w:x="9385" w:y="1"/>
        <w:widowControl w:val="0"/>
        <w:numPr>
          <w:ilvl w:val="0"/>
          <w:numId w:val="3"/>
        </w:numPr>
        <w:shd w:val="clear" w:color="auto" w:fill="auto"/>
        <w:tabs>
          <w:tab w:pos="360" w:val="left"/>
        </w:tabs>
        <w:bidi w:val="0"/>
        <w:spacing w:before="0" w:after="180" w:line="331" w:lineRule="exact"/>
        <w:ind w:left="360" w:right="0" w:hanging="360"/>
        <w:jc w:val="left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>会计师事务所终止,应習向财政部门交回《食计 师事务所执业证</w:t>
      </w:r>
      <w:r>
        <w:rPr>
          <w:color w:val="000000"/>
          <w:spacing w:val="0"/>
          <w:w w:val="100"/>
          <w:position w:val="0"/>
          <w:lang w:val="zh-CN" w:eastAsia="zh-CN" w:bidi="zh-CN"/>
        </w:rPr>
        <w:t>书》。</w:t>
      </w:r>
    </w:p>
    <w:p>
      <w:pPr>
        <w:widowControl w:val="0"/>
        <w:spacing w:line="360" w:lineRule="exact"/>
      </w:pPr>
      <w:r>
        <w:drawing>
          <wp:anchor distT="0" distB="0" distL="1069975" distR="0" simplePos="0" relativeHeight="62914714" behindDoc="1" locked="0" layoutInCell="1" allowOverlap="1">
            <wp:simplePos x="0" y="0"/>
            <wp:positionH relativeFrom="page">
              <wp:posOffset>3942715</wp:posOffset>
            </wp:positionH>
            <wp:positionV relativeFrom="margin">
              <wp:posOffset>1568450</wp:posOffset>
            </wp:positionV>
            <wp:extent cx="1377950" cy="1554480"/>
            <wp:wrapNone/>
            <wp:docPr id="74" name="Shape 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box 75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1377950" cy="15544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5360035</wp:posOffset>
            </wp:positionH>
            <wp:positionV relativeFrom="margin">
              <wp:posOffset>2423160</wp:posOffset>
            </wp:positionV>
            <wp:extent cx="3230880" cy="1377950"/>
            <wp:wrapNone/>
            <wp:docPr id="76" name="Shape 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box 77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3230880" cy="13779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2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762" w:right="3245" w:bottom="1954" w:left="2825" w:header="3334" w:footer="1526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6391910</wp:posOffset>
              </wp:positionH>
              <wp:positionV relativeFrom="page">
                <wp:posOffset>10093325</wp:posOffset>
              </wp:positionV>
              <wp:extent cx="201295" cy="95885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503.30000000000001pt;margin-top:794.75pt;width:15.85pt;height:7.5499999999999998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1134110</wp:posOffset>
              </wp:positionH>
              <wp:positionV relativeFrom="page">
                <wp:posOffset>10042525</wp:posOffset>
              </wp:positionV>
              <wp:extent cx="5463540" cy="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6354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9.299999999999997pt;margin-top:790.75pt;width:430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3973195</wp:posOffset>
              </wp:positionH>
              <wp:positionV relativeFrom="page">
                <wp:posOffset>10410190</wp:posOffset>
              </wp:positionV>
              <wp:extent cx="1531620" cy="54610"/>
              <wp:wrapNone/>
              <wp:docPr id="50" name="Shape 5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31620" cy="546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41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1024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312.85000000000002pt;margin-top:819.70000000000005pt;width:120.60000000000001pt;height:4.2999999999999998pt;z-index:-188744044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41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10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6382385</wp:posOffset>
              </wp:positionH>
              <wp:positionV relativeFrom="page">
                <wp:posOffset>10005695</wp:posOffset>
              </wp:positionV>
              <wp:extent cx="196850" cy="9144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685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502.55000000000001pt;margin-top:787.85000000000002pt;width:15.5pt;height:7.2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9952990</wp:posOffset>
              </wp:positionV>
              <wp:extent cx="5459095" cy="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5909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8.549999999999997pt;margin-top:783.70000000000005pt;width:42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6390640</wp:posOffset>
              </wp:positionH>
              <wp:positionV relativeFrom="page">
                <wp:posOffset>9940925</wp:posOffset>
              </wp:positionV>
              <wp:extent cx="196850" cy="9588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6850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1/2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503.19999999999999pt;margin-top:782.75pt;width:15.5pt;height:7.5499999999999998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1137285</wp:posOffset>
              </wp:positionH>
              <wp:positionV relativeFrom="page">
                <wp:posOffset>9897745</wp:posOffset>
              </wp:positionV>
              <wp:extent cx="5459095" cy="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5909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9.549999999999997pt;margin-top:779.35000000000002pt;width:42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6377940</wp:posOffset>
              </wp:positionH>
              <wp:positionV relativeFrom="page">
                <wp:posOffset>10053955</wp:posOffset>
              </wp:positionV>
              <wp:extent cx="196850" cy="95885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6850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502.19999999999999pt;margin-top:791.64999999999998pt;width:15.5pt;height:7.5499999999999998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1111250</wp:posOffset>
              </wp:positionH>
              <wp:positionV relativeFrom="page">
                <wp:posOffset>10005695</wp:posOffset>
              </wp:positionV>
              <wp:extent cx="5472430" cy="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724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7.5pt;margin-top:787.85000000000002pt;width:430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6310630</wp:posOffset>
              </wp:positionH>
              <wp:positionV relativeFrom="page">
                <wp:posOffset>10070465</wp:posOffset>
              </wp:positionV>
              <wp:extent cx="45720" cy="73025"/>
              <wp:wrapNone/>
              <wp:docPr id="40" name="Shape 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72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496.90000000000003pt;margin-top:792.95000000000005pt;width:3.6000000000000001pt;height:5.7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6310630</wp:posOffset>
              </wp:positionH>
              <wp:positionV relativeFrom="page">
                <wp:posOffset>10070465</wp:posOffset>
              </wp:positionV>
              <wp:extent cx="45720" cy="73025"/>
              <wp:wrapNone/>
              <wp:docPr id="42" name="Shape 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72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496.90000000000003pt;margin-top:792.95000000000005pt;width:3.6000000000000001pt;height:5.7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1211580</wp:posOffset>
              </wp:positionH>
              <wp:positionV relativeFrom="page">
                <wp:posOffset>752475</wp:posOffset>
              </wp:positionV>
              <wp:extent cx="5066030" cy="12319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66030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7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湖南省湘雅医学和健康基金会审计报告</w:t>
                            <w:tab/>
                            <w:t>报告编号:湘博审字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［20181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8106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号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95.400000000000006pt;margin-top:59.25pt;width:398.90000000000003pt;height:9.700000000000001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7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湖南省湘雅医学和健康基金会审计报告</w:t>
                      <w:tab/>
                      <w:t>报告编号:湘博审字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［20181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8106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1193165</wp:posOffset>
              </wp:positionH>
              <wp:positionV relativeFrom="page">
                <wp:posOffset>902970</wp:posOffset>
              </wp:positionV>
              <wp:extent cx="5253355" cy="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5335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3.950000000000003pt;margin-top:71.100000000000009pt;width:413.65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708660</wp:posOffset>
              </wp:positionV>
              <wp:extent cx="5038090" cy="128270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3809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3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湖講省湘雅医学和健康基金会审计报告</w:t>
                            <w:tab/>
                            <w:t>报告编号:湘博审字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［20181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8106-1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号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94.350000000000009pt;margin-top:55.800000000000004pt;width:396.69999999999999pt;height:10.1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3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湖講省湘雅医学和健康基金会审计报告</w:t>
                      <w:tab/>
                      <w:t>报告编号:湘博审字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［20181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8106-1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1170940</wp:posOffset>
              </wp:positionH>
              <wp:positionV relativeFrom="page">
                <wp:posOffset>863600</wp:posOffset>
              </wp:positionV>
              <wp:extent cx="5253355" cy="0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5335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2.200000000000003pt;margin-top:68.pt;width:413.65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3"/>
      <w:numFmt w:val="decimal"/>
      <w:lvlText w:val="%1,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5">
    <w:name w:val="Picture caption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8">
    <w:name w:val="Heading #1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58"/>
      <w:szCs w:val="58"/>
      <w:u w:val="none"/>
      <w:shd w:val="clear" w:color="auto" w:fill="auto"/>
      <w:lang w:val="zh-TW" w:eastAsia="zh-TW" w:bidi="zh-TW"/>
    </w:rPr>
  </w:style>
  <w:style w:type="character" w:customStyle="1" w:styleId="CharStyle10">
    <w:name w:val="Header or footer|2_"/>
    <w:basedOn w:val="DefaultParagraphFont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3">
    <w:name w:val="Heading #3|1_"/>
    <w:basedOn w:val="DefaultParagraphFont"/>
    <w:link w:val="Style12"/>
    <w:rPr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15">
    <w:name w:val="Body text|4_"/>
    <w:basedOn w:val="DefaultParagraphFont"/>
    <w:link w:val="Style14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21">
    <w:name w:val="Heading #2|1_"/>
    <w:basedOn w:val="DefaultParagraphFont"/>
    <w:link w:val="Style20"/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CharStyle23">
    <w:name w:val="Other|1_"/>
    <w:basedOn w:val="DefaultParagraphFont"/>
    <w:link w:val="Style22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27">
    <w:name w:val="Table caption|1_"/>
    <w:basedOn w:val="DefaultParagraphFont"/>
    <w:link w:val="Style26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31">
    <w:name w:val="Heading #4|1_"/>
    <w:basedOn w:val="DefaultParagraphFont"/>
    <w:link w:val="Style30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33">
    <w:name w:val="Body text|1_"/>
    <w:basedOn w:val="DefaultParagraphFont"/>
    <w:link w:val="Style32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37">
    <w:name w:val="Header or footer|1_"/>
    <w:basedOn w:val="DefaultParagraphFont"/>
    <w:link w:val="Style36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39">
    <w:name w:val="Body text|3_"/>
    <w:basedOn w:val="DefaultParagraphFont"/>
    <w:link w:val="Style38"/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CharStyle44">
    <w:name w:val="Other|2_"/>
    <w:basedOn w:val="DefaultParagraphFont"/>
    <w:link w:val="Style43"/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CharStyle47">
    <w:name w:val="Body text|5_"/>
    <w:basedOn w:val="DefaultParagraphFont"/>
    <w:link w:val="Style46"/>
    <w:rPr>
      <w:rFonts w:ascii="SimSun" w:eastAsia="SimSun" w:hAnsi="SimSun" w:cs="SimSun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character" w:customStyle="1" w:styleId="CharStyle60">
    <w:name w:val="Table of contents|1_"/>
    <w:basedOn w:val="DefaultParagraphFont"/>
    <w:link w:val="Style59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260" w:line="480" w:lineRule="auto"/>
      <w:ind w:firstLine="28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4">
    <w:name w:val="Picture caption|1"/>
    <w:basedOn w:val="Normal"/>
    <w:link w:val="CharStyle5"/>
    <w:pPr>
      <w:widowControl w:val="0"/>
      <w:shd w:val="clear" w:color="auto" w:fill="auto"/>
      <w:spacing w:line="593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7">
    <w:name w:val="Heading #1|1"/>
    <w:basedOn w:val="Normal"/>
    <w:link w:val="CharStyle8"/>
    <w:pPr>
      <w:widowControl w:val="0"/>
      <w:shd w:val="clear" w:color="auto" w:fill="auto"/>
      <w:spacing w:after="40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58"/>
      <w:szCs w:val="58"/>
      <w:u w:val="none"/>
      <w:shd w:val="clear" w:color="auto" w:fill="auto"/>
      <w:lang w:val="zh-TW" w:eastAsia="zh-TW" w:bidi="zh-TW"/>
    </w:rPr>
  </w:style>
  <w:style w:type="paragraph" w:customStyle="1" w:styleId="Style9">
    <w:name w:val="Header or footer|2"/>
    <w:basedOn w:val="Normal"/>
    <w:link w:val="CharStyle10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2">
    <w:name w:val="Heading #3|1"/>
    <w:basedOn w:val="Normal"/>
    <w:link w:val="CharStyle13"/>
    <w:pPr>
      <w:widowControl w:val="0"/>
      <w:shd w:val="clear" w:color="auto" w:fill="auto"/>
      <w:spacing w:after="230"/>
      <w:ind w:firstLine="530"/>
      <w:outlineLvl w:val="2"/>
    </w:pPr>
    <w:rPr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14">
    <w:name w:val="Body text|4"/>
    <w:basedOn w:val="Normal"/>
    <w:link w:val="CharStyle15"/>
    <w:pPr>
      <w:widowControl w:val="0"/>
      <w:shd w:val="clear" w:color="auto" w:fill="auto"/>
      <w:spacing w:after="120"/>
      <w:jc w:val="center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0">
    <w:name w:val="Heading #2|1"/>
    <w:basedOn w:val="Normal"/>
    <w:link w:val="CharStyle21"/>
    <w:pPr>
      <w:widowControl w:val="0"/>
      <w:shd w:val="clear" w:color="auto" w:fill="auto"/>
      <w:spacing w:after="120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Style22">
    <w:name w:val="Other|1"/>
    <w:basedOn w:val="Normal"/>
    <w:link w:val="CharStyle2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26">
    <w:name w:val="Table caption|1"/>
    <w:basedOn w:val="Normal"/>
    <w:link w:val="CharStyle27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30">
    <w:name w:val="Heading #4|1"/>
    <w:basedOn w:val="Normal"/>
    <w:link w:val="CharStyle31"/>
    <w:pPr>
      <w:widowControl w:val="0"/>
      <w:shd w:val="clear" w:color="auto" w:fill="auto"/>
      <w:spacing w:after="60"/>
      <w:ind w:firstLine="400"/>
      <w:outlineLvl w:val="3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32">
    <w:name w:val="Body text|1"/>
    <w:basedOn w:val="Normal"/>
    <w:link w:val="CharStyle33"/>
    <w:pPr>
      <w:widowControl w:val="0"/>
      <w:shd w:val="clear" w:color="auto" w:fill="auto"/>
      <w:spacing w:after="120" w:line="401" w:lineRule="exact"/>
      <w:ind w:firstLine="46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36">
    <w:name w:val="Header or footer|1"/>
    <w:basedOn w:val="Normal"/>
    <w:link w:val="CharStyle37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38">
    <w:name w:val="Body text|3"/>
    <w:basedOn w:val="Normal"/>
    <w:link w:val="CharStyle39"/>
    <w:pPr>
      <w:widowControl w:val="0"/>
      <w:shd w:val="clear" w:color="auto" w:fill="auto"/>
      <w:spacing w:after="110"/>
      <w:ind w:firstLine="240"/>
    </w:pPr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Style43">
    <w:name w:val="Other|2"/>
    <w:basedOn w:val="Normal"/>
    <w:link w:val="CharStyle44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Style46">
    <w:name w:val="Body text|5"/>
    <w:basedOn w:val="Normal"/>
    <w:link w:val="CharStyle47"/>
    <w:pPr>
      <w:widowControl w:val="0"/>
      <w:shd w:val="clear" w:color="auto" w:fill="auto"/>
      <w:spacing w:line="361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paragraph" w:customStyle="1" w:styleId="Style59">
    <w:name w:val="Table of contents|1"/>
    <w:basedOn w:val="Normal"/>
    <w:link w:val="CharStyle60"/>
    <w:pPr>
      <w:widowControl w:val="0"/>
      <w:shd w:val="clear" w:color="auto" w:fill="auto"/>
      <w:spacing w:line="194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image" Target="media/image5.png"/><Relationship Id="rId18" Type="http://schemas.openxmlformats.org/officeDocument/2006/relationships/image" Target="media/image5.png" TargetMode="External"/><Relationship Id="rId19" Type="http://schemas.openxmlformats.org/officeDocument/2006/relationships/header" Target="header3.xml"/><Relationship Id="rId20" Type="http://schemas.openxmlformats.org/officeDocument/2006/relationships/footer" Target="footer3.xml"/><Relationship Id="rId21" Type="http://schemas.openxmlformats.org/officeDocument/2006/relationships/image" Target="media/image6.png"/><Relationship Id="rId22" Type="http://schemas.openxmlformats.org/officeDocument/2006/relationships/image" Target="media/image6.png" TargetMode="External"/><Relationship Id="rId23" Type="http://schemas.openxmlformats.org/officeDocument/2006/relationships/image" Target="media/image7.png"/><Relationship Id="rId24" Type="http://schemas.openxmlformats.org/officeDocument/2006/relationships/image" Target="media/image7.png" TargetMode="External"/><Relationship Id="rId25" Type="http://schemas.openxmlformats.org/officeDocument/2006/relationships/header" Target="header4.xml"/><Relationship Id="rId26" Type="http://schemas.openxmlformats.org/officeDocument/2006/relationships/footer" Target="footer4.xml"/><Relationship Id="rId27" Type="http://schemas.openxmlformats.org/officeDocument/2006/relationships/header" Target="header5.xml"/><Relationship Id="rId28" Type="http://schemas.openxmlformats.org/officeDocument/2006/relationships/footer" Target="footer5.xml"/><Relationship Id="rId29" Type="http://schemas.openxmlformats.org/officeDocument/2006/relationships/header" Target="header6.xml"/><Relationship Id="rId30" Type="http://schemas.openxmlformats.org/officeDocument/2006/relationships/footer" Target="footer6.xml"/><Relationship Id="rId31" Type="http://schemas.openxmlformats.org/officeDocument/2006/relationships/header" Target="header7.xml"/><Relationship Id="rId32" Type="http://schemas.openxmlformats.org/officeDocument/2006/relationships/footer" Target="footer7.xml"/><Relationship Id="rId33" Type="http://schemas.openxmlformats.org/officeDocument/2006/relationships/header" Target="header8.xml"/><Relationship Id="rId34" Type="http://schemas.openxmlformats.org/officeDocument/2006/relationships/footer" Target="footer8.xml"/><Relationship Id="rId35" Type="http://schemas.openxmlformats.org/officeDocument/2006/relationships/header" Target="header9.xml"/><Relationship Id="rId36" Type="http://schemas.openxmlformats.org/officeDocument/2006/relationships/footer" Target="footer9.xml"/><Relationship Id="rId37" Type="http://schemas.openxmlformats.org/officeDocument/2006/relationships/image" Target="media/image8.png"/><Relationship Id="rId38" Type="http://schemas.openxmlformats.org/officeDocument/2006/relationships/image" Target="media/image8.png" TargetMode="External"/><Relationship Id="rId39" Type="http://schemas.openxmlformats.org/officeDocument/2006/relationships/image" Target="media/image9.png"/><Relationship Id="rId40" Type="http://schemas.openxmlformats.org/officeDocument/2006/relationships/image" Target="media/image9.png" TargetMode="External"/><Relationship Id="rId41" Type="http://schemas.openxmlformats.org/officeDocument/2006/relationships/image" Target="media/image10.png"/><Relationship Id="rId42" Type="http://schemas.openxmlformats.org/officeDocument/2006/relationships/image" Target="media/image10.png" TargetMode="External"/><Relationship Id="rId43" Type="http://schemas.openxmlformats.org/officeDocument/2006/relationships/header" Target="header10.xml"/><Relationship Id="rId44" Type="http://schemas.openxmlformats.org/officeDocument/2006/relationships/footer" Target="footer10.xml"/><Relationship Id="rId45" Type="http://schemas.openxmlformats.org/officeDocument/2006/relationships/image" Target="media/image11.png"/><Relationship Id="rId46" Type="http://schemas.openxmlformats.org/officeDocument/2006/relationships/image" Target="media/image11.png" TargetMode="External"/><Relationship Id="rId47" Type="http://schemas.openxmlformats.org/officeDocument/2006/relationships/image" Target="media/image12.png"/><Relationship Id="rId48" Type="http://schemas.openxmlformats.org/officeDocument/2006/relationships/image" Target="media/image12.png" TargetMode="External"/><Relationship Id="rId49" Type="http://schemas.openxmlformats.org/officeDocument/2006/relationships/image" Target="media/image13.png"/><Relationship Id="rId50" Type="http://schemas.openxmlformats.org/officeDocument/2006/relationships/image" Target="media/image13.png" TargetMode="External"/><Relationship Id="rId51" Type="http://schemas.openxmlformats.org/officeDocument/2006/relationships/header" Target="header11.xml"/><Relationship Id="rId52" Type="http://schemas.openxmlformats.org/officeDocument/2006/relationships/footer" Target="footer11.xml"/><Relationship Id="rId53" Type="http://schemas.openxmlformats.org/officeDocument/2006/relationships/image" Target="media/image14.png"/><Relationship Id="rId54" Type="http://schemas.openxmlformats.org/officeDocument/2006/relationships/image" Target="media/image14.png" TargetMode="External"/><Relationship Id="rId55" Type="http://schemas.openxmlformats.org/officeDocument/2006/relationships/image" Target="media/image15.png"/><Relationship Id="rId56" Type="http://schemas.openxmlformats.org/officeDocument/2006/relationships/image" Target="media/image15.png" TargetMode="External"/><Relationship Id="rId57" Type="http://schemas.openxmlformats.org/officeDocument/2006/relationships/image" Target="media/image16.png"/><Relationship Id="rId58" Type="http://schemas.openxmlformats.org/officeDocument/2006/relationships/image" Target="media/image16.png" TargetMode="External"/><Relationship Id="rId59" Type="http://schemas.openxmlformats.org/officeDocument/2006/relationships/image" Target="media/image17.png"/><Relationship Id="rId60" Type="http://schemas.openxmlformats.org/officeDocument/2006/relationships/image" Target="media/image17.png" TargetMode="External"/><Relationship Id="rId61" Type="http://schemas.openxmlformats.org/officeDocument/2006/relationships/image" Target="media/image18.png"/><Relationship Id="rId62" Type="http://schemas.openxmlformats.org/officeDocument/2006/relationships/image" Target="media/image18.png" TargetMode="External"/></Relationships>
</file>